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8C" w:rsidRPr="00657322" w:rsidRDefault="00B24D8C" w:rsidP="00B24D8C">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B24D8C" w:rsidRPr="00657322" w:rsidRDefault="00B24D8C" w:rsidP="00B24D8C">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B24D8C" w:rsidRPr="00657322" w:rsidRDefault="00B24D8C" w:rsidP="00B24D8C">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B24D8C" w:rsidRPr="00BB647D" w:rsidRDefault="00B24D8C" w:rsidP="00B24D8C">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B24D8C" w:rsidRPr="00657322" w:rsidRDefault="00B24D8C" w:rsidP="00B24D8C">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B24D8C" w:rsidRPr="00657322" w:rsidRDefault="00B24D8C" w:rsidP="00B24D8C">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2</w:t>
      </w:r>
      <w:r w:rsidRPr="00657322">
        <w:rPr>
          <w:rFonts w:asciiTheme="majorBidi" w:hAnsiTheme="majorBidi" w:cstheme="majorBidi"/>
          <w:b/>
          <w:bCs/>
          <w:sz w:val="28"/>
          <w:szCs w:val="28"/>
        </w:rPr>
        <w:t xml:space="preserve"> : </w:t>
      </w:r>
      <w:r w:rsidRPr="00C57FEE">
        <w:rPr>
          <w:rFonts w:asciiTheme="majorBidi" w:hAnsiTheme="majorBidi" w:cstheme="majorBidi"/>
          <w:b/>
          <w:bCs/>
          <w:sz w:val="28"/>
          <w:szCs w:val="28"/>
        </w:rPr>
        <w:t xml:space="preserve">CONCEPTS D’ETHIQUE, MORALE et  </w:t>
      </w:r>
      <w:proofErr w:type="gramStart"/>
      <w:r w:rsidRPr="00C57FEE">
        <w:rPr>
          <w:rFonts w:asciiTheme="majorBidi" w:hAnsiTheme="majorBidi" w:cstheme="majorBidi"/>
          <w:b/>
          <w:bCs/>
          <w:sz w:val="28"/>
          <w:szCs w:val="28"/>
        </w:rPr>
        <w:t>DEONTOLOGIE </w:t>
      </w:r>
      <w:r w:rsidRPr="00657322">
        <w:rPr>
          <w:rFonts w:asciiTheme="majorBidi" w:hAnsiTheme="majorBidi" w:cstheme="majorBidi"/>
          <w:b/>
          <w:bCs/>
          <w:sz w:val="28"/>
          <w:szCs w:val="28"/>
        </w:rPr>
        <w:t>. </w:t>
      </w:r>
      <w:proofErr w:type="gramEnd"/>
    </w:p>
    <w:p w:rsidR="000A6CA2" w:rsidRPr="00E823F9" w:rsidRDefault="00BC711C" w:rsidP="00D85959">
      <w:pPr>
        <w:spacing w:after="0" w:line="360" w:lineRule="auto"/>
        <w:rPr>
          <w:rFonts w:asciiTheme="majorBidi" w:hAnsiTheme="majorBidi" w:cstheme="majorBidi"/>
          <w:b/>
          <w:bCs/>
          <w:sz w:val="24"/>
          <w:szCs w:val="24"/>
        </w:rPr>
      </w:pPr>
      <w:proofErr w:type="gramStart"/>
      <w:r w:rsidRPr="00E823F9">
        <w:rPr>
          <w:rFonts w:asciiTheme="majorBidi" w:hAnsiTheme="majorBidi" w:cstheme="majorBidi"/>
          <w:b/>
          <w:bCs/>
          <w:sz w:val="24"/>
          <w:szCs w:val="24"/>
        </w:rPr>
        <w:t>3 .</w:t>
      </w:r>
      <w:proofErr w:type="gramEnd"/>
      <w:r w:rsidRPr="00E823F9">
        <w:rPr>
          <w:rFonts w:asciiTheme="majorBidi" w:hAnsiTheme="majorBidi" w:cstheme="majorBidi"/>
          <w:b/>
          <w:bCs/>
          <w:sz w:val="24"/>
          <w:szCs w:val="24"/>
        </w:rPr>
        <w:t xml:space="preserve"> Déontologie :</w:t>
      </w:r>
    </w:p>
    <w:p w:rsidR="00BC711C" w:rsidRDefault="00D85959" w:rsidP="00D85959">
      <w:pPr>
        <w:spacing w:after="0" w:line="360" w:lineRule="auto"/>
        <w:rPr>
          <w:rFonts w:asciiTheme="majorBidi" w:hAnsiTheme="majorBidi" w:cstheme="majorBidi"/>
          <w:sz w:val="24"/>
          <w:szCs w:val="24"/>
        </w:rPr>
      </w:pPr>
      <w:r>
        <w:rPr>
          <w:rFonts w:asciiTheme="majorBidi" w:hAnsiTheme="majorBidi" w:cstheme="majorBidi"/>
          <w:sz w:val="24"/>
          <w:szCs w:val="24"/>
        </w:rPr>
        <w:t xml:space="preserve">La déontologie </w:t>
      </w:r>
      <w:r w:rsidRPr="00D85959">
        <w:rPr>
          <w:rFonts w:asciiTheme="majorBidi" w:hAnsiTheme="majorBidi" w:cstheme="majorBidi"/>
          <w:sz w:val="24"/>
          <w:szCs w:val="24"/>
        </w:rPr>
        <w:t>est la discipline qui étudie les devoirs moraux et l'ensemble des règles de conduite que l'homme doit respecter envers la société en général. Le terme déontologie vient du grec "</w:t>
      </w:r>
      <w:proofErr w:type="spellStart"/>
      <w:r w:rsidRPr="00D85959">
        <w:rPr>
          <w:rFonts w:asciiTheme="majorBidi" w:hAnsiTheme="majorBidi" w:cstheme="majorBidi"/>
          <w:sz w:val="24"/>
          <w:szCs w:val="24"/>
        </w:rPr>
        <w:t>deon</w:t>
      </w:r>
      <w:proofErr w:type="spellEnd"/>
      <w:r w:rsidRPr="00D85959">
        <w:rPr>
          <w:rFonts w:asciiTheme="majorBidi" w:hAnsiTheme="majorBidi" w:cstheme="majorBidi"/>
          <w:sz w:val="24"/>
          <w:szCs w:val="24"/>
        </w:rPr>
        <w:t>" qui signifie "devoir" et "logos" qui signifie "discours".</w:t>
      </w:r>
    </w:p>
    <w:p w:rsidR="0008394F" w:rsidRDefault="0008394F" w:rsidP="0008394F">
      <w:pPr>
        <w:shd w:val="clear" w:color="auto" w:fill="FFFFFF" w:themeFill="background1"/>
        <w:spacing w:after="0" w:line="360" w:lineRule="auto"/>
        <w:rPr>
          <w:rFonts w:asciiTheme="majorBidi" w:hAnsiTheme="majorBidi" w:cstheme="majorBidi"/>
          <w:sz w:val="24"/>
          <w:szCs w:val="24"/>
          <w:shd w:val="clear" w:color="auto" w:fill="F7F7F8"/>
        </w:rPr>
      </w:pPr>
      <w:r w:rsidRPr="0008394F">
        <w:rPr>
          <w:rFonts w:asciiTheme="majorBidi" w:hAnsiTheme="majorBidi" w:cstheme="majorBidi"/>
          <w:sz w:val="24"/>
          <w:szCs w:val="24"/>
          <w:shd w:val="clear" w:color="auto" w:fill="F7F7F8"/>
        </w:rPr>
        <w:t>De manière moins technique, le mot «déontologie» fait référence à l'ensemble des obligations auxquelles les professionnels doivent se conformer dans l'exercice de leur métier. Ces obligations sont souvent établies et officialisées sous forme de code par les organismes dirigeants ou représentatifs de la profession.</w:t>
      </w:r>
    </w:p>
    <w:p w:rsidR="0008394F" w:rsidRDefault="00E823F9"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4. </w:t>
      </w:r>
      <w:r w:rsidR="0008394F" w:rsidRPr="00B92279">
        <w:rPr>
          <w:rFonts w:ascii="Times New Roman" w:eastAsia="Times New Roman" w:hAnsi="Times New Roman" w:cs="Times New Roman"/>
          <w:b/>
          <w:bCs/>
          <w:color w:val="000000"/>
          <w:sz w:val="24"/>
          <w:szCs w:val="24"/>
          <w:lang w:eastAsia="fr-FR"/>
        </w:rPr>
        <w:t xml:space="preserve">Distinction entre </w:t>
      </w:r>
      <w:proofErr w:type="gramStart"/>
      <w:r w:rsidR="0008394F">
        <w:rPr>
          <w:rFonts w:ascii="Times New Roman" w:eastAsia="Times New Roman" w:hAnsi="Times New Roman" w:cs="Times New Roman"/>
          <w:b/>
          <w:bCs/>
          <w:color w:val="000000"/>
          <w:sz w:val="24"/>
          <w:szCs w:val="24"/>
          <w:lang w:eastAsia="fr-FR"/>
        </w:rPr>
        <w:t>Morale ,</w:t>
      </w:r>
      <w:proofErr w:type="gramEnd"/>
      <w:r w:rsidR="0008394F">
        <w:rPr>
          <w:rFonts w:ascii="Times New Roman" w:eastAsia="Times New Roman" w:hAnsi="Times New Roman" w:cs="Times New Roman"/>
          <w:b/>
          <w:bCs/>
          <w:color w:val="000000"/>
          <w:sz w:val="24"/>
          <w:szCs w:val="24"/>
          <w:lang w:eastAsia="fr-FR"/>
        </w:rPr>
        <w:t xml:space="preserve"> </w:t>
      </w:r>
      <w:r w:rsidR="0008394F" w:rsidRPr="00B92279">
        <w:rPr>
          <w:rFonts w:ascii="Times New Roman" w:eastAsia="Times New Roman" w:hAnsi="Times New Roman" w:cs="Times New Roman"/>
          <w:b/>
          <w:bCs/>
          <w:color w:val="000000"/>
          <w:sz w:val="24"/>
          <w:szCs w:val="24"/>
          <w:lang w:eastAsia="fr-FR"/>
        </w:rPr>
        <w:t>Ethique et Déontologie :</w:t>
      </w: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tbl>
      <w:tblPr>
        <w:tblStyle w:val="Grilledutableau"/>
        <w:tblW w:w="0" w:type="auto"/>
        <w:tblLook w:val="04A0"/>
      </w:tblPr>
      <w:tblGrid>
        <w:gridCol w:w="3070"/>
        <w:gridCol w:w="3071"/>
        <w:gridCol w:w="3071"/>
      </w:tblGrid>
      <w:tr w:rsidR="0008394F" w:rsidTr="0008394F">
        <w:tc>
          <w:tcPr>
            <w:tcW w:w="3070" w:type="dxa"/>
          </w:tcPr>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Morale</w:t>
            </w:r>
          </w:p>
        </w:tc>
        <w:tc>
          <w:tcPr>
            <w:tcW w:w="3071" w:type="dxa"/>
          </w:tcPr>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r w:rsidRPr="00B92279">
              <w:rPr>
                <w:rFonts w:ascii="Times New Roman" w:eastAsia="Times New Roman" w:hAnsi="Times New Roman" w:cs="Times New Roman"/>
                <w:b/>
                <w:bCs/>
                <w:color w:val="000000"/>
                <w:sz w:val="24"/>
                <w:szCs w:val="24"/>
                <w:lang w:eastAsia="fr-FR"/>
              </w:rPr>
              <w:t>Ethique</w:t>
            </w:r>
          </w:p>
        </w:tc>
        <w:tc>
          <w:tcPr>
            <w:tcW w:w="3071" w:type="dxa"/>
          </w:tcPr>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r w:rsidRPr="00B92279">
              <w:rPr>
                <w:rFonts w:ascii="Times New Roman" w:eastAsia="Times New Roman" w:hAnsi="Times New Roman" w:cs="Times New Roman"/>
                <w:b/>
                <w:bCs/>
                <w:color w:val="000000"/>
                <w:sz w:val="24"/>
                <w:szCs w:val="24"/>
                <w:lang w:eastAsia="fr-FR"/>
              </w:rPr>
              <w:t>Déontologie</w:t>
            </w:r>
          </w:p>
        </w:tc>
      </w:tr>
      <w:tr w:rsidR="0008394F" w:rsidTr="0008394F">
        <w:tc>
          <w:tcPr>
            <w:tcW w:w="3070" w:type="dxa"/>
          </w:tcPr>
          <w:p w:rsidR="0008394F" w:rsidRDefault="0008394F"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définit des principes ou des lois générales</w:t>
            </w:r>
            <w:r w:rsidR="00501810">
              <w:rPr>
                <w:rFonts w:ascii="Times New Roman" w:eastAsia="Times New Roman" w:hAnsi="Times New Roman" w:cs="Times New Roman"/>
                <w:color w:val="000000"/>
                <w:sz w:val="24"/>
                <w:szCs w:val="24"/>
                <w:lang w:eastAsia="fr-FR"/>
              </w:rPr>
              <w:t>.</w:t>
            </w:r>
          </w:p>
          <w:p w:rsidR="00501810" w:rsidRDefault="00501810"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n’intègre pas les contraintes de la situation</w:t>
            </w:r>
          </w:p>
          <w:p w:rsidR="00501810" w:rsidRDefault="00501810" w:rsidP="0008394F">
            <w:pPr>
              <w:spacing w:before="0" w:after="0"/>
              <w:jc w:val="lef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binaire.</w:t>
            </w:r>
          </w:p>
        </w:tc>
        <w:tc>
          <w:tcPr>
            <w:tcW w:w="3071" w:type="dxa"/>
          </w:tcPr>
          <w:p w:rsidR="0008394F" w:rsidRDefault="00500409"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une</w:t>
            </w:r>
            <w:r>
              <w:rPr>
                <w:rFonts w:ascii="Times New Roman" w:eastAsia="Times New Roman" w:hAnsi="Times New Roman" w:cs="Times New Roman"/>
                <w:color w:val="000000"/>
                <w:sz w:val="24"/>
                <w:szCs w:val="24"/>
                <w:lang w:eastAsia="fr-FR"/>
              </w:rPr>
              <w:t xml:space="preserve"> </w:t>
            </w:r>
            <w:r w:rsidRPr="00B92279">
              <w:rPr>
                <w:rFonts w:ascii="Times New Roman" w:eastAsia="Times New Roman" w:hAnsi="Times New Roman" w:cs="Times New Roman"/>
                <w:color w:val="000000"/>
                <w:sz w:val="24"/>
                <w:szCs w:val="24"/>
                <w:lang w:eastAsia="fr-FR"/>
              </w:rPr>
              <w:t>disposition individuelle à agir selon les vertus</w:t>
            </w:r>
            <w:r w:rsidR="00501810">
              <w:rPr>
                <w:rFonts w:ascii="Times New Roman" w:eastAsia="Times New Roman" w:hAnsi="Times New Roman" w:cs="Times New Roman"/>
                <w:color w:val="000000"/>
                <w:sz w:val="24"/>
                <w:szCs w:val="24"/>
                <w:lang w:eastAsia="fr-FR"/>
              </w:rPr>
              <w:t>.</w:t>
            </w:r>
          </w:p>
          <w:p w:rsidR="00501810" w:rsidRDefault="00501810" w:rsidP="0008394F">
            <w:pPr>
              <w:spacing w:before="0" w:after="0"/>
              <w:jc w:val="lef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admet la discussion, l’argumentation, les paradoxes</w:t>
            </w:r>
          </w:p>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p>
        </w:tc>
        <w:tc>
          <w:tcPr>
            <w:tcW w:w="3071" w:type="dxa"/>
          </w:tcPr>
          <w:p w:rsidR="00501810" w:rsidRDefault="00501810"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désigne l’ensemble des devoirs et des obligations imposés à tous les membres du groupe</w:t>
            </w:r>
            <w:r>
              <w:rPr>
                <w:rFonts w:ascii="Times New Roman" w:eastAsia="Times New Roman" w:hAnsi="Times New Roman" w:cs="Times New Roman"/>
                <w:color w:val="000000"/>
                <w:sz w:val="24"/>
                <w:szCs w:val="24"/>
                <w:lang w:eastAsia="fr-FR"/>
              </w:rPr>
              <w:t xml:space="preserve"> </w:t>
            </w:r>
          </w:p>
          <w:p w:rsidR="00501810" w:rsidRDefault="00501810" w:rsidP="0008394F">
            <w:pPr>
              <w:spacing w:before="0" w:after="0"/>
              <w:jc w:val="left"/>
              <w:rPr>
                <w:rFonts w:ascii="Times New Roman" w:eastAsia="Times New Roman" w:hAnsi="Times New Roman" w:cs="Times New Roman"/>
                <w:b/>
                <w:bCs/>
                <w:color w:val="000000"/>
                <w:sz w:val="24"/>
                <w:szCs w:val="24"/>
                <w:lang w:eastAsia="fr-FR"/>
              </w:rPr>
            </w:pPr>
          </w:p>
        </w:tc>
      </w:tr>
    </w:tbl>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Pr="0008394F" w:rsidRDefault="0008394F" w:rsidP="0008394F">
      <w:pPr>
        <w:shd w:val="clear" w:color="auto" w:fill="FFFFFF" w:themeFill="background1"/>
        <w:spacing w:after="0" w:line="360" w:lineRule="auto"/>
        <w:rPr>
          <w:rFonts w:asciiTheme="majorBidi" w:hAnsiTheme="majorBidi" w:cstheme="majorBidi"/>
          <w:sz w:val="24"/>
          <w:szCs w:val="24"/>
        </w:rPr>
      </w:pPr>
    </w:p>
    <w:sectPr w:rsidR="0008394F" w:rsidRPr="0008394F" w:rsidSect="00303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F6C5C"/>
    <w:multiLevelType w:val="multilevel"/>
    <w:tmpl w:val="9A204AF4"/>
    <w:lvl w:ilvl="0">
      <w:start w:val="1"/>
      <w:numFmt w:val="decimal"/>
      <w:lvlText w:val="%1."/>
      <w:lvlJc w:val="left"/>
      <w:pPr>
        <w:ind w:left="720" w:hanging="360"/>
      </w:pPr>
      <w:rPr>
        <w:rFonts w:hint="default"/>
        <w:b/>
      </w:rPr>
    </w:lvl>
    <w:lvl w:ilvl="1">
      <w:start w:val="2"/>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
    <w:nsid w:val="68DC1F90"/>
    <w:multiLevelType w:val="multilevel"/>
    <w:tmpl w:val="32EC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A6CA2"/>
    <w:rsid w:val="0008394F"/>
    <w:rsid w:val="000A6CA2"/>
    <w:rsid w:val="00303D09"/>
    <w:rsid w:val="00400809"/>
    <w:rsid w:val="00500409"/>
    <w:rsid w:val="00501810"/>
    <w:rsid w:val="00B24D8C"/>
    <w:rsid w:val="00BC711C"/>
    <w:rsid w:val="00D85959"/>
    <w:rsid w:val="00E823F9"/>
    <w:rsid w:val="00FD20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8C"/>
    <w:pPr>
      <w:spacing w:before="240" w:after="24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CA2"/>
    <w:pPr>
      <w:ind w:left="720"/>
      <w:contextualSpacing/>
    </w:pPr>
  </w:style>
  <w:style w:type="paragraph" w:customStyle="1" w:styleId="sc-a6dfc828-0">
    <w:name w:val="sc-a6dfc828-0"/>
    <w:basedOn w:val="Normal"/>
    <w:rsid w:val="000A6CA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B24D8C"/>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59"/>
    <w:rsid w:val="00083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69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189</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8</cp:revision>
  <dcterms:created xsi:type="dcterms:W3CDTF">2023-10-27T17:11:00Z</dcterms:created>
  <dcterms:modified xsi:type="dcterms:W3CDTF">2023-10-27T20:46:00Z</dcterms:modified>
</cp:coreProperties>
</file>