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083CC0" w:rsidP="00083CC0">
      <w:pPr>
        <w:bidi/>
        <w:jc w:val="center"/>
        <w:rPr>
          <w:rFonts w:cs="Arabic Typesetting" w:hint="cs"/>
          <w:b/>
          <w:bCs/>
          <w:sz w:val="44"/>
          <w:szCs w:val="44"/>
          <w:rtl/>
        </w:rPr>
      </w:pPr>
      <w:proofErr w:type="gramStart"/>
      <w:r w:rsidRPr="00083CC0">
        <w:rPr>
          <w:rFonts w:cs="Arabic Typesetting" w:hint="cs"/>
          <w:b/>
          <w:bCs/>
          <w:sz w:val="44"/>
          <w:szCs w:val="44"/>
          <w:rtl/>
        </w:rPr>
        <w:t>المحاضرة</w:t>
      </w:r>
      <w:proofErr w:type="gramEnd"/>
      <w:r w:rsidRPr="00083CC0">
        <w:rPr>
          <w:rFonts w:cs="Arabic Typesetting" w:hint="cs"/>
          <w:b/>
          <w:bCs/>
          <w:sz w:val="44"/>
          <w:szCs w:val="44"/>
          <w:rtl/>
        </w:rPr>
        <w:t xml:space="preserve"> السادسة: المدارس النحوية</w:t>
      </w:r>
    </w:p>
    <w:p w:rsidR="00083CC0" w:rsidRPr="006448F0" w:rsidRDefault="00360916" w:rsidP="006448F0">
      <w:pPr>
        <w:pStyle w:val="Paragraphedeliste"/>
        <w:numPr>
          <w:ilvl w:val="0"/>
          <w:numId w:val="1"/>
        </w:numPr>
        <w:bidi/>
        <w:ind w:left="425"/>
        <w:jc w:val="both"/>
        <w:rPr>
          <w:rFonts w:cs="Arabic Typesetting" w:hint="cs"/>
          <w:b/>
          <w:bCs/>
          <w:sz w:val="44"/>
          <w:szCs w:val="44"/>
          <w:lang w:val="en-US"/>
        </w:rPr>
      </w:pPr>
      <w:r w:rsidRPr="00360916">
        <w:rPr>
          <w:rFonts w:cs="Arabic Typesetting" w:hint="cs"/>
          <w:b/>
          <w:bCs/>
          <w:sz w:val="44"/>
          <w:szCs w:val="44"/>
          <w:rtl/>
          <w:lang w:val="en-US"/>
        </w:rPr>
        <w:t xml:space="preserve">تعريف النحو: </w:t>
      </w:r>
      <w:r w:rsidR="006448F0" w:rsidRPr="006448F0">
        <w:rPr>
          <w:rFonts w:cs="Arabic Typesetting"/>
          <w:sz w:val="44"/>
          <w:szCs w:val="44"/>
          <w:rtl/>
          <w:lang w:val="en-US"/>
        </w:rPr>
        <w:t>لنحو علمٌ تُعرف به حقائق المعاني، ويُوقف به على معرفة الأصول والمباني ويحتاج إليه في معرفة الأحكام، ويُستدل به على الفرق بين الحلال والحرام، ويُتوصل بمعرفته إلى معاني الكتاب، وما فيه من الحكمة وفصل الخطاب، ولابد له مع ذلك مِن أصولٍ تحكمه وضوابط تضبطه؛ حتى يكونَ الاستدلال والاحتجاج على أصول وقواعد محكمة</w:t>
      </w:r>
      <w:r w:rsidR="006448F0">
        <w:rPr>
          <w:rStyle w:val="Appelnotedebasdep"/>
          <w:rFonts w:cs="Arabic Typesetting"/>
          <w:sz w:val="44"/>
          <w:szCs w:val="44"/>
          <w:rtl/>
          <w:lang w:val="en-US"/>
        </w:rPr>
        <w:footnoteReference w:id="1"/>
      </w:r>
    </w:p>
    <w:p w:rsidR="006448F0" w:rsidRPr="006448F0" w:rsidRDefault="006448F0" w:rsidP="006448F0">
      <w:pPr>
        <w:pStyle w:val="Paragraphedeliste"/>
        <w:numPr>
          <w:ilvl w:val="0"/>
          <w:numId w:val="1"/>
        </w:numPr>
        <w:bidi/>
        <w:ind w:left="425"/>
        <w:jc w:val="both"/>
        <w:rPr>
          <w:rFonts w:cs="Arabic Typesetting"/>
          <w:sz w:val="44"/>
          <w:szCs w:val="44"/>
          <w:lang w:val="en-US"/>
        </w:rPr>
      </w:pPr>
      <w:proofErr w:type="gramStart"/>
      <w:r>
        <w:rPr>
          <w:rFonts w:cs="Arabic Typesetting" w:hint="cs"/>
          <w:b/>
          <w:bCs/>
          <w:sz w:val="44"/>
          <w:szCs w:val="44"/>
          <w:rtl/>
          <w:lang w:val="en-US"/>
        </w:rPr>
        <w:t>علم</w:t>
      </w:r>
      <w:proofErr w:type="gramEnd"/>
      <w:r>
        <w:rPr>
          <w:rFonts w:cs="Arabic Typesetting" w:hint="cs"/>
          <w:b/>
          <w:bCs/>
          <w:sz w:val="44"/>
          <w:szCs w:val="44"/>
          <w:rtl/>
          <w:lang w:val="en-US"/>
        </w:rPr>
        <w:t xml:space="preserve"> أصول النحو: </w:t>
      </w:r>
      <w:r w:rsidRPr="006448F0">
        <w:rPr>
          <w:rFonts w:cs="Arabic Typesetting"/>
          <w:sz w:val="44"/>
          <w:szCs w:val="44"/>
          <w:rtl/>
          <w:lang w:val="en-US"/>
        </w:rPr>
        <w:t>علمٌ يُبحث فيه عن أدلة النحو الإجمالية مِن حيث أدلتُه، وكيفية الاستدلال بها، وحال المستدل بها.</w:t>
      </w:r>
      <w:r>
        <w:rPr>
          <w:rStyle w:val="Appelnotedebasdep"/>
          <w:rFonts w:cs="Arabic Typesetting"/>
          <w:sz w:val="44"/>
          <w:szCs w:val="44"/>
          <w:rtl/>
          <w:lang w:val="en-US"/>
        </w:rPr>
        <w:footnoteReference w:id="2"/>
      </w:r>
      <w:r>
        <w:rPr>
          <w:rFonts w:cs="Arabic Typesetting" w:hint="cs"/>
          <w:sz w:val="44"/>
          <w:szCs w:val="44"/>
          <w:rtl/>
          <w:lang w:val="en-US"/>
        </w:rPr>
        <w:t xml:space="preserve"> </w:t>
      </w:r>
      <w:r w:rsidRPr="006448F0">
        <w:rPr>
          <w:rFonts w:cs="Arabic Typesetting"/>
          <w:sz w:val="44"/>
          <w:szCs w:val="44"/>
          <w:rtl/>
          <w:lang w:val="en-US"/>
        </w:rPr>
        <w:t xml:space="preserve">قال الشيخ مصطفى </w:t>
      </w:r>
      <w:proofErr w:type="spellStart"/>
      <w:r w:rsidRPr="006448F0">
        <w:rPr>
          <w:rFonts w:cs="Arabic Typesetting"/>
          <w:sz w:val="44"/>
          <w:szCs w:val="44"/>
          <w:rtl/>
          <w:lang w:val="en-US"/>
        </w:rPr>
        <w:t>الغلاييني</w:t>
      </w:r>
      <w:proofErr w:type="spellEnd"/>
      <w:r w:rsidRPr="006448F0">
        <w:rPr>
          <w:rFonts w:cs="Arabic Typesetting"/>
          <w:sz w:val="44"/>
          <w:szCs w:val="44"/>
          <w:rtl/>
          <w:lang w:val="en-US"/>
        </w:rPr>
        <w:t>: والإعرابُ (وهو ما يُعرف اليوم بالنحو) علمٌ بأصولٍ تُعرف بها أحوالُ الكلمات العربية؛ مِن حيث الإعرابُ والبناء؛ أي: مِن حيث ما يَعرضُ لها في حال تركيبها، فبه نَعرِف ما يجب عليه أن يكون آخرُ الكلمة مِن رفع، أو نصب، أو جر، أو جزمٍ، أو لزوم حالةٍ واحدةٍ، بعد انتظامها في الجملة، ومعرفته ضرورية لكلِّ مَن يُزاول الكتابة والخطابة ومدارسة الآداب العربية، وكان يُعرف النحوُ بأنه: علم تُعرَفُ به أحوالُ الكلماتِ العربية مُفردةً ومُرَكبة</w:t>
      </w:r>
      <w:r>
        <w:rPr>
          <w:rStyle w:val="Appelnotedebasdep"/>
          <w:rFonts w:cs="Arabic Typesetting"/>
          <w:sz w:val="44"/>
          <w:szCs w:val="44"/>
          <w:rtl/>
          <w:lang w:val="en-US"/>
        </w:rPr>
        <w:footnoteReference w:id="3"/>
      </w:r>
      <w:r w:rsidRPr="006448F0">
        <w:rPr>
          <w:rFonts w:cs="Arabic Typesetting"/>
          <w:sz w:val="44"/>
          <w:szCs w:val="44"/>
          <w:rtl/>
          <w:lang w:val="en-US"/>
        </w:rPr>
        <w:t>.</w:t>
      </w:r>
    </w:p>
    <w:p w:rsidR="00360916" w:rsidRPr="006448F0" w:rsidRDefault="00360916" w:rsidP="006448F0">
      <w:pPr>
        <w:pStyle w:val="Paragraphedeliste"/>
        <w:numPr>
          <w:ilvl w:val="0"/>
          <w:numId w:val="1"/>
        </w:numPr>
        <w:bidi/>
        <w:ind w:left="425"/>
        <w:jc w:val="both"/>
        <w:rPr>
          <w:rFonts w:cs="Arabic Typesetting" w:hint="cs"/>
          <w:b/>
          <w:bCs/>
          <w:sz w:val="44"/>
          <w:szCs w:val="44"/>
          <w:lang w:val="en-US"/>
        </w:rPr>
      </w:pPr>
      <w:r w:rsidRPr="006448F0">
        <w:rPr>
          <w:rFonts w:cs="Arabic Typesetting" w:hint="cs"/>
          <w:b/>
          <w:bCs/>
          <w:sz w:val="44"/>
          <w:szCs w:val="44"/>
          <w:rtl/>
          <w:lang w:val="en-US"/>
        </w:rPr>
        <w:t xml:space="preserve">المدارس النحوية: </w:t>
      </w:r>
      <w:r w:rsidRPr="006448F0">
        <w:rPr>
          <w:rFonts w:cs="Arabic Typesetting"/>
          <w:sz w:val="44"/>
          <w:szCs w:val="44"/>
          <w:rtl/>
          <w:lang w:val="en-US"/>
        </w:rPr>
        <w:t>يشيرُ مصطلح المدارس النحوية إلى اتِّجاهات مختلفة ظهرت في مجال دراسة علم النَّحو في اللغة العربية، وقد اختلفت هذه المدارس النحوية في بعض المسائل النحويَّة الفرعيَّة، وقد ارتبطَ كلٌّ منها بمدينة أو إقليم جغرافيٍّ معيَّن، كمدينة البصرة أو الكوفة أو كإقليم الأندلس أو مصر</w:t>
      </w:r>
      <w:r>
        <w:rPr>
          <w:rStyle w:val="Appelnotedebasdep"/>
          <w:rFonts w:cs="Arabic Typesetting"/>
          <w:sz w:val="44"/>
          <w:szCs w:val="44"/>
          <w:rtl/>
          <w:lang w:val="en-US"/>
        </w:rPr>
        <w:footnoteReference w:id="4"/>
      </w:r>
      <w:r w:rsidR="00AF0BC9" w:rsidRPr="006448F0">
        <w:rPr>
          <w:rFonts w:cs="Arabic Typesetting" w:hint="cs"/>
          <w:sz w:val="44"/>
          <w:szCs w:val="44"/>
          <w:rtl/>
          <w:lang w:val="en-US"/>
        </w:rPr>
        <w:t xml:space="preserve"> وسنستشهد هنا بأشهر مدرستين في النحو العربي مدرسة البصرة ومدرسة الكوفة.</w:t>
      </w:r>
    </w:p>
    <w:p w:rsidR="00AF0BC9" w:rsidRPr="006448F0" w:rsidRDefault="00AF0BC9" w:rsidP="006448F0">
      <w:pPr>
        <w:pStyle w:val="Paragraphedeliste"/>
        <w:numPr>
          <w:ilvl w:val="0"/>
          <w:numId w:val="4"/>
        </w:numPr>
        <w:bidi/>
        <w:ind w:left="425"/>
        <w:jc w:val="both"/>
        <w:rPr>
          <w:rFonts w:cs="Arabic Typesetting" w:hint="cs"/>
          <w:sz w:val="44"/>
          <w:szCs w:val="44"/>
          <w:lang w:val="en-US"/>
        </w:rPr>
      </w:pPr>
      <w:proofErr w:type="gramStart"/>
      <w:r w:rsidRPr="006448F0">
        <w:rPr>
          <w:rFonts w:cs="Arabic Typesetting" w:hint="cs"/>
          <w:b/>
          <w:bCs/>
          <w:sz w:val="44"/>
          <w:szCs w:val="44"/>
          <w:rtl/>
          <w:lang w:val="en-US"/>
        </w:rPr>
        <w:t>مدرسة</w:t>
      </w:r>
      <w:proofErr w:type="gramEnd"/>
      <w:r w:rsidRPr="006448F0">
        <w:rPr>
          <w:rFonts w:cs="Arabic Typesetting" w:hint="cs"/>
          <w:b/>
          <w:bCs/>
          <w:sz w:val="44"/>
          <w:szCs w:val="44"/>
          <w:rtl/>
          <w:lang w:val="en-US"/>
        </w:rPr>
        <w:t xml:space="preserve"> البصرة: </w:t>
      </w:r>
      <w:r w:rsidR="00A67455" w:rsidRPr="006448F0">
        <w:rPr>
          <w:rFonts w:cs="Arabic Typesetting" w:hint="cs"/>
          <w:sz w:val="44"/>
          <w:szCs w:val="44"/>
          <w:rtl/>
          <w:lang w:val="en-US"/>
        </w:rPr>
        <w:t xml:space="preserve">هي واضعة علم النحو ويرجع ذلك لعدة أسباب منها دينية وغير دينية، الأولى حرصهم الشديد على أداء وتلاوة القرآن الكريم تلاوة صحيحة فصيحة... </w:t>
      </w:r>
      <w:proofErr w:type="gramStart"/>
      <w:r w:rsidR="00A67455" w:rsidRPr="006448F0">
        <w:rPr>
          <w:rFonts w:cs="Arabic Typesetting" w:hint="cs"/>
          <w:sz w:val="44"/>
          <w:szCs w:val="44"/>
          <w:rtl/>
          <w:lang w:val="en-US"/>
        </w:rPr>
        <w:t>أما</w:t>
      </w:r>
      <w:proofErr w:type="gramEnd"/>
      <w:r w:rsidR="00A67455" w:rsidRPr="006448F0">
        <w:rPr>
          <w:rFonts w:cs="Arabic Typesetting" w:hint="cs"/>
          <w:sz w:val="44"/>
          <w:szCs w:val="44"/>
          <w:rtl/>
          <w:lang w:val="en-US"/>
        </w:rPr>
        <w:t xml:space="preserve"> الأسباب </w:t>
      </w:r>
      <w:r w:rsidR="00A67455" w:rsidRPr="006448F0">
        <w:rPr>
          <w:rFonts w:cs="Arabic Typesetting" w:hint="cs"/>
          <w:sz w:val="44"/>
          <w:szCs w:val="44"/>
          <w:rtl/>
          <w:lang w:val="en-US"/>
        </w:rPr>
        <w:lastRenderedPageBreak/>
        <w:t xml:space="preserve">غير دينية غيرة العرب على لغتهم واعتزازهم بها الأمر الذي جعلهم يخشون عليها الفساد بعد اختلاطهم </w:t>
      </w:r>
      <w:proofErr w:type="gramStart"/>
      <w:r w:rsidR="00A67455" w:rsidRPr="006448F0">
        <w:rPr>
          <w:rFonts w:cs="Arabic Typesetting" w:hint="cs"/>
          <w:sz w:val="44"/>
          <w:szCs w:val="44"/>
          <w:rtl/>
          <w:lang w:val="en-US"/>
        </w:rPr>
        <w:t>بالعجم</w:t>
      </w:r>
      <w:r w:rsidR="00A67455">
        <w:rPr>
          <w:rStyle w:val="Appelnotedebasdep"/>
          <w:rFonts w:cs="Arabic Typesetting"/>
          <w:sz w:val="44"/>
          <w:szCs w:val="44"/>
          <w:rtl/>
          <w:lang w:val="en-US"/>
        </w:rPr>
        <w:footnoteReference w:id="5"/>
      </w:r>
      <w:r w:rsidR="00A67455" w:rsidRPr="006448F0">
        <w:rPr>
          <w:rFonts w:cs="Arabic Typesetting" w:hint="cs"/>
          <w:sz w:val="44"/>
          <w:szCs w:val="44"/>
          <w:rtl/>
          <w:lang w:val="en-US"/>
        </w:rPr>
        <w:t xml:space="preserve"> مصادر</w:t>
      </w:r>
      <w:proofErr w:type="gramEnd"/>
      <w:r w:rsidR="00A67455" w:rsidRPr="006448F0">
        <w:rPr>
          <w:rFonts w:cs="Arabic Typesetting" w:hint="cs"/>
          <w:sz w:val="44"/>
          <w:szCs w:val="44"/>
          <w:rtl/>
          <w:lang w:val="en-US"/>
        </w:rPr>
        <w:t xml:space="preserve"> دراسة النحو عند البصريين ثلاثة:</w:t>
      </w:r>
    </w:p>
    <w:p w:rsidR="00A67455" w:rsidRDefault="00A67455" w:rsidP="00A67455">
      <w:pPr>
        <w:pStyle w:val="Paragraphedeliste"/>
        <w:numPr>
          <w:ilvl w:val="0"/>
          <w:numId w:val="3"/>
        </w:numPr>
        <w:bidi/>
        <w:ind w:left="425"/>
        <w:jc w:val="both"/>
        <w:rPr>
          <w:rFonts w:cs="Arabic Typesetting" w:hint="cs"/>
          <w:sz w:val="44"/>
          <w:szCs w:val="44"/>
          <w:lang w:val="en-US"/>
        </w:rPr>
      </w:pPr>
      <w:proofErr w:type="gramStart"/>
      <w:r w:rsidRPr="00A67455">
        <w:rPr>
          <w:rFonts w:cs="Arabic Typesetting" w:hint="cs"/>
          <w:b/>
          <w:bCs/>
          <w:sz w:val="44"/>
          <w:szCs w:val="44"/>
          <w:u w:val="single"/>
          <w:rtl/>
          <w:lang w:val="en-US"/>
        </w:rPr>
        <w:t>القرآن</w:t>
      </w:r>
      <w:proofErr w:type="gramEnd"/>
      <w:r w:rsidRPr="00A67455">
        <w:rPr>
          <w:rFonts w:cs="Arabic Typesetting" w:hint="cs"/>
          <w:b/>
          <w:bCs/>
          <w:sz w:val="44"/>
          <w:szCs w:val="44"/>
          <w:u w:val="single"/>
          <w:rtl/>
          <w:lang w:val="en-US"/>
        </w:rPr>
        <w:t xml:space="preserve"> الكريم</w:t>
      </w:r>
      <w:r w:rsidRPr="00A67455">
        <w:rPr>
          <w:rFonts w:cs="Arabic Typesetting" w:hint="cs"/>
          <w:sz w:val="44"/>
          <w:szCs w:val="44"/>
          <w:rtl/>
          <w:lang w:val="en-US"/>
        </w:rPr>
        <w:t>:</w:t>
      </w:r>
      <w:r>
        <w:rPr>
          <w:rFonts w:cs="Arabic Typesetting" w:hint="cs"/>
          <w:sz w:val="44"/>
          <w:szCs w:val="44"/>
          <w:rtl/>
          <w:lang w:val="en-US"/>
        </w:rPr>
        <w:t xml:space="preserve"> أهم مصدر قاسوا عليه واستشهدوا به على كثير من المسائل اللغوية والنحوية</w:t>
      </w:r>
    </w:p>
    <w:p w:rsidR="00A67455" w:rsidRDefault="00A67455" w:rsidP="00A67455">
      <w:pPr>
        <w:pStyle w:val="Paragraphedeliste"/>
        <w:numPr>
          <w:ilvl w:val="0"/>
          <w:numId w:val="3"/>
        </w:numPr>
        <w:bidi/>
        <w:ind w:left="425"/>
        <w:jc w:val="both"/>
        <w:rPr>
          <w:rFonts w:cs="Arabic Typesetting" w:hint="cs"/>
          <w:sz w:val="44"/>
          <w:szCs w:val="44"/>
          <w:lang w:val="en-US"/>
        </w:rPr>
      </w:pPr>
      <w:r>
        <w:rPr>
          <w:rFonts w:cs="Arabic Typesetting" w:hint="cs"/>
          <w:b/>
          <w:bCs/>
          <w:sz w:val="44"/>
          <w:szCs w:val="44"/>
          <w:u w:val="single"/>
          <w:rtl/>
          <w:lang w:val="en-US"/>
        </w:rPr>
        <w:t>الشعر الجاهلي والإسلامي وكلام العرب الفصحاء</w:t>
      </w:r>
      <w:r w:rsidRPr="00A67455">
        <w:rPr>
          <w:rFonts w:cs="Arabic Typesetting" w:hint="cs"/>
          <w:sz w:val="44"/>
          <w:szCs w:val="44"/>
          <w:rtl/>
          <w:lang w:val="en-US"/>
        </w:rPr>
        <w:t>:</w:t>
      </w:r>
      <w:r>
        <w:rPr>
          <w:rFonts w:cs="Arabic Typesetting" w:hint="cs"/>
          <w:sz w:val="44"/>
          <w:szCs w:val="44"/>
          <w:rtl/>
          <w:lang w:val="en-US"/>
        </w:rPr>
        <w:t xml:space="preserve"> كان الشعر الجاهلي ديوان علمهم ومنتهى حكمهم به يأخذون وإليه يصيرون، قدّس البصريون الشعر الجاهلي والاسلامي لكن تقديسهم لقواعدهم كان أكبر بحيث خطأوا الكثير من الشعراء في الجاهلية ممن خالف قواعدهم</w:t>
      </w:r>
    </w:p>
    <w:p w:rsidR="00A67455" w:rsidRDefault="00A67455" w:rsidP="00A67455">
      <w:pPr>
        <w:pStyle w:val="Paragraphedeliste"/>
        <w:numPr>
          <w:ilvl w:val="0"/>
          <w:numId w:val="3"/>
        </w:numPr>
        <w:bidi/>
        <w:ind w:left="425"/>
        <w:jc w:val="both"/>
        <w:rPr>
          <w:rFonts w:cs="Arabic Typesetting" w:hint="cs"/>
          <w:sz w:val="44"/>
          <w:szCs w:val="44"/>
          <w:lang w:val="en-US"/>
        </w:rPr>
      </w:pPr>
      <w:proofErr w:type="gramStart"/>
      <w:r>
        <w:rPr>
          <w:rFonts w:cs="Arabic Typesetting" w:hint="cs"/>
          <w:b/>
          <w:bCs/>
          <w:sz w:val="44"/>
          <w:szCs w:val="44"/>
          <w:u w:val="single"/>
          <w:rtl/>
          <w:lang w:val="en-US"/>
        </w:rPr>
        <w:t>الحديث</w:t>
      </w:r>
      <w:proofErr w:type="gramEnd"/>
      <w:r>
        <w:rPr>
          <w:rFonts w:cs="Arabic Typesetting" w:hint="cs"/>
          <w:b/>
          <w:bCs/>
          <w:sz w:val="44"/>
          <w:szCs w:val="44"/>
          <w:u w:val="single"/>
          <w:rtl/>
          <w:lang w:val="en-US"/>
        </w:rPr>
        <w:t xml:space="preserve"> النبوي الشريف</w:t>
      </w:r>
      <w:r w:rsidRPr="00A67455">
        <w:rPr>
          <w:rFonts w:cs="Arabic Typesetting" w:hint="cs"/>
          <w:sz w:val="44"/>
          <w:szCs w:val="44"/>
          <w:rtl/>
          <w:lang w:val="en-US"/>
        </w:rPr>
        <w:t>:</w:t>
      </w:r>
      <w:r>
        <w:rPr>
          <w:rFonts w:cs="Arabic Typesetting" w:hint="cs"/>
          <w:sz w:val="44"/>
          <w:szCs w:val="44"/>
          <w:rtl/>
          <w:lang w:val="en-US"/>
        </w:rPr>
        <w:t xml:space="preserve"> لم يحظ بالعناية في الاستشهاد إلا بالقدر القليل منه.</w:t>
      </w:r>
      <w:r>
        <w:rPr>
          <w:rStyle w:val="Appelnotedebasdep"/>
          <w:rFonts w:cs="Arabic Typesetting"/>
          <w:sz w:val="44"/>
          <w:szCs w:val="44"/>
          <w:rtl/>
          <w:lang w:val="en-US"/>
        </w:rPr>
        <w:footnoteReference w:id="6"/>
      </w:r>
      <w:r>
        <w:rPr>
          <w:rFonts w:cs="Arabic Typesetting" w:hint="cs"/>
          <w:sz w:val="44"/>
          <w:szCs w:val="44"/>
          <w:rtl/>
          <w:lang w:val="en-US"/>
        </w:rPr>
        <w:t xml:space="preserve"> </w:t>
      </w:r>
    </w:p>
    <w:p w:rsidR="00A67455" w:rsidRDefault="00A67455" w:rsidP="00A67455">
      <w:pPr>
        <w:bidi/>
        <w:jc w:val="both"/>
        <w:rPr>
          <w:rFonts w:cs="Arabic Typesetting" w:hint="cs"/>
          <w:sz w:val="44"/>
          <w:szCs w:val="44"/>
          <w:rtl/>
          <w:lang w:val="en-US"/>
        </w:rPr>
      </w:pPr>
      <w:r>
        <w:rPr>
          <w:rFonts w:cs="Arabic Typesetting" w:hint="cs"/>
          <w:sz w:val="44"/>
          <w:szCs w:val="44"/>
          <w:rtl/>
          <w:lang w:val="en-US"/>
        </w:rPr>
        <w:t xml:space="preserve">من أبرز علماء المدرسة البصرية: أبو الأسود الدؤلي، عيسى بن عمر الثقفي، ابن أبي إسحاق الحضرمي، </w:t>
      </w:r>
      <w:r w:rsidR="00A758D9">
        <w:rPr>
          <w:rFonts w:cs="Arabic Typesetting" w:hint="cs"/>
          <w:sz w:val="44"/>
          <w:szCs w:val="44"/>
          <w:rtl/>
          <w:lang w:val="en-US"/>
        </w:rPr>
        <w:t>الخليل بن أحمد الفراهيدي...</w:t>
      </w:r>
    </w:p>
    <w:p w:rsidR="00C70ECB" w:rsidRDefault="006448F0" w:rsidP="00C70ECB">
      <w:pPr>
        <w:pStyle w:val="Paragraphedeliste"/>
        <w:numPr>
          <w:ilvl w:val="0"/>
          <w:numId w:val="4"/>
        </w:numPr>
        <w:bidi/>
        <w:ind w:left="425"/>
        <w:jc w:val="both"/>
        <w:rPr>
          <w:rFonts w:cs="Arabic Typesetting" w:hint="cs"/>
          <w:sz w:val="44"/>
          <w:szCs w:val="44"/>
          <w:lang w:val="en-US"/>
        </w:rPr>
      </w:pPr>
      <w:r w:rsidRPr="00C70ECB">
        <w:rPr>
          <w:rFonts w:cs="Arabic Typesetting" w:hint="cs"/>
          <w:b/>
          <w:bCs/>
          <w:sz w:val="44"/>
          <w:szCs w:val="44"/>
          <w:rtl/>
          <w:lang w:val="en-US"/>
        </w:rPr>
        <w:t>مدرسة الكوفة</w:t>
      </w:r>
      <w:r w:rsidRPr="00C70ECB">
        <w:rPr>
          <w:rFonts w:cs="Arabic Typesetting" w:hint="cs"/>
          <w:sz w:val="44"/>
          <w:szCs w:val="44"/>
          <w:rtl/>
          <w:lang w:val="en-US"/>
        </w:rPr>
        <w:t xml:space="preserve">:  </w:t>
      </w:r>
      <w:r w:rsidR="00C70ECB" w:rsidRPr="00C70ECB">
        <w:rPr>
          <w:rFonts w:cs="Arabic Typesetting"/>
          <w:sz w:val="44"/>
          <w:szCs w:val="44"/>
          <w:rtl/>
          <w:lang w:val="en-US"/>
        </w:rPr>
        <w:t xml:space="preserve">جعل المعنيون بتاريخ النحو القديم بداية النحو الكوفي موصولة بأبي جعفر </w:t>
      </w:r>
      <w:proofErr w:type="spellStart"/>
      <w:r w:rsidR="00C70ECB" w:rsidRPr="00C70ECB">
        <w:rPr>
          <w:rFonts w:cs="Arabic Typesetting"/>
          <w:sz w:val="44"/>
          <w:szCs w:val="44"/>
          <w:rtl/>
          <w:lang w:val="en-US"/>
        </w:rPr>
        <w:t>الرؤاسي</w:t>
      </w:r>
      <w:proofErr w:type="spellEnd"/>
      <w:r w:rsidR="00C70ECB" w:rsidRPr="00C70ECB">
        <w:rPr>
          <w:rFonts w:cs="Arabic Typesetting"/>
          <w:sz w:val="44"/>
          <w:szCs w:val="44"/>
          <w:rtl/>
          <w:lang w:val="en-US"/>
        </w:rPr>
        <w:t xml:space="preserve">، وإلى مثل هذا ذهب المعاصرون، فقد قيل: إن لأبي جعفر </w:t>
      </w:r>
      <w:proofErr w:type="spellStart"/>
      <w:r w:rsidR="00C70ECB" w:rsidRPr="00C70ECB">
        <w:rPr>
          <w:rFonts w:cs="Arabic Typesetting"/>
          <w:sz w:val="44"/>
          <w:szCs w:val="44"/>
          <w:rtl/>
          <w:lang w:val="en-US"/>
        </w:rPr>
        <w:t>الرؤاسي</w:t>
      </w:r>
      <w:proofErr w:type="spellEnd"/>
      <w:r w:rsidR="00C70ECB" w:rsidRPr="00C70ECB">
        <w:rPr>
          <w:rFonts w:cs="Arabic Typesetting"/>
          <w:sz w:val="44"/>
          <w:szCs w:val="44"/>
          <w:rtl/>
          <w:lang w:val="en-US"/>
        </w:rPr>
        <w:t xml:space="preserve"> كتابًا في النحو قد اطلع عليه الخليل بن أحمد وانتفع به، وكان هذا هو الذي جعل المعاصرين يذهبون إلى التنافس المزعوم بين الخليل </w:t>
      </w:r>
      <w:proofErr w:type="spellStart"/>
      <w:r w:rsidR="00C70ECB" w:rsidRPr="00C70ECB">
        <w:rPr>
          <w:rFonts w:cs="Arabic Typesetting"/>
          <w:sz w:val="44"/>
          <w:szCs w:val="44"/>
          <w:rtl/>
          <w:lang w:val="en-US"/>
        </w:rPr>
        <w:t>والرؤاسي</w:t>
      </w:r>
      <w:proofErr w:type="spellEnd"/>
      <w:r w:rsidR="00C70ECB" w:rsidRPr="00C70ECB">
        <w:rPr>
          <w:rFonts w:cs="Arabic Typesetting"/>
          <w:sz w:val="44"/>
          <w:szCs w:val="44"/>
          <w:rtl/>
          <w:lang w:val="en-US"/>
        </w:rPr>
        <w:t xml:space="preserve">، على أن من العلم أن نقول: إن النحو الكوفي بدأ بظهور أبي جعفر </w:t>
      </w:r>
      <w:proofErr w:type="spellStart"/>
      <w:r w:rsidR="00C70ECB" w:rsidRPr="00C70ECB">
        <w:rPr>
          <w:rFonts w:cs="Arabic Typesetting"/>
          <w:sz w:val="44"/>
          <w:szCs w:val="44"/>
          <w:rtl/>
          <w:lang w:val="en-US"/>
        </w:rPr>
        <w:t>الرؤاسي</w:t>
      </w:r>
      <w:proofErr w:type="spellEnd"/>
      <w:r w:rsidR="00C70ECB" w:rsidRPr="00C70ECB">
        <w:rPr>
          <w:rFonts w:cs="Arabic Typesetting"/>
          <w:sz w:val="44"/>
          <w:szCs w:val="44"/>
          <w:rtl/>
          <w:lang w:val="en-US"/>
        </w:rPr>
        <w:t>، وقد تلمذ له الكسائي والفراء، وقد ذكر أبو البركات ابن الأنباري أن له كتاب (الفيصل)، وكان ثعلب قد أشار إلى أنه أول كتاب في نحو الكوفيين، وكتاب (التصغير)، وكتاب (معاني القرآن)، وأشار ابن النديم إلى أن هذا الكتاب كان يُروى إلى أيامه، وكتاب (الوقف والابتداء)</w:t>
      </w:r>
      <w:r w:rsidR="00C70ECB">
        <w:rPr>
          <w:rStyle w:val="Appelnotedebasdep"/>
          <w:rFonts w:cs="Arabic Typesetting"/>
          <w:sz w:val="44"/>
          <w:szCs w:val="44"/>
          <w:rtl/>
          <w:lang w:val="en-US"/>
        </w:rPr>
        <w:footnoteReference w:id="7"/>
      </w:r>
      <w:r w:rsidR="00E04F17">
        <w:rPr>
          <w:rFonts w:cs="Arabic Typesetting" w:hint="cs"/>
          <w:sz w:val="44"/>
          <w:szCs w:val="44"/>
          <w:rtl/>
          <w:lang w:val="en-US"/>
        </w:rPr>
        <w:t xml:space="preserve"> </w:t>
      </w:r>
    </w:p>
    <w:p w:rsidR="00E04F17" w:rsidRPr="00E04F17" w:rsidRDefault="00E04F17" w:rsidP="00E04F17">
      <w:pPr>
        <w:bidi/>
        <w:jc w:val="both"/>
        <w:rPr>
          <w:rFonts w:cs="Arabic Typesetting"/>
          <w:sz w:val="44"/>
          <w:szCs w:val="44"/>
          <w:lang w:val="en-US"/>
        </w:rPr>
      </w:pPr>
      <w:r>
        <w:rPr>
          <w:rFonts w:cs="Arabic Typesetting" w:hint="cs"/>
          <w:sz w:val="44"/>
          <w:szCs w:val="44"/>
          <w:rtl/>
          <w:lang w:val="en-US"/>
        </w:rPr>
        <w:t xml:space="preserve">من أهم أعلامها، </w:t>
      </w:r>
      <w:proofErr w:type="spellStart"/>
      <w:r>
        <w:rPr>
          <w:rFonts w:cs="Arabic Typesetting" w:hint="cs"/>
          <w:sz w:val="44"/>
          <w:szCs w:val="44"/>
          <w:rtl/>
          <w:lang w:val="en-US"/>
        </w:rPr>
        <w:t>الرؤاسي</w:t>
      </w:r>
      <w:proofErr w:type="spellEnd"/>
      <w:r>
        <w:rPr>
          <w:rFonts w:cs="Arabic Typesetting" w:hint="cs"/>
          <w:sz w:val="44"/>
          <w:szCs w:val="44"/>
          <w:rtl/>
          <w:lang w:val="en-US"/>
        </w:rPr>
        <w:t>، معاذ الهراء، الكسائي، الأحمر، الفراء...</w:t>
      </w:r>
    </w:p>
    <w:p w:rsidR="00360916" w:rsidRPr="00E04F17" w:rsidRDefault="00360916" w:rsidP="00E04F17">
      <w:pPr>
        <w:bidi/>
        <w:jc w:val="both"/>
        <w:rPr>
          <w:rFonts w:cs="Arabic Typesetting" w:hint="cs"/>
          <w:b/>
          <w:bCs/>
          <w:sz w:val="44"/>
          <w:szCs w:val="44"/>
          <w:rtl/>
          <w:lang w:val="en-US"/>
        </w:rPr>
      </w:pPr>
    </w:p>
    <w:sectPr w:rsidR="00360916" w:rsidRPr="00E04F1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CC" w:rsidRDefault="003D66CC" w:rsidP="00360916">
      <w:pPr>
        <w:spacing w:after="0" w:line="240" w:lineRule="auto"/>
      </w:pPr>
      <w:r>
        <w:separator/>
      </w:r>
    </w:p>
  </w:endnote>
  <w:endnote w:type="continuationSeparator" w:id="0">
    <w:p w:rsidR="003D66CC" w:rsidRDefault="003D66CC" w:rsidP="0036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23" w:rsidRDefault="003132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155882"/>
      <w:docPartObj>
        <w:docPartGallery w:val="Page Numbers (Bottom of Page)"/>
        <w:docPartUnique/>
      </w:docPartObj>
    </w:sdtPr>
    <w:sdtContent>
      <w:bookmarkStart w:id="0" w:name="_GoBack" w:displacedByCustomXml="prev"/>
      <w:bookmarkEnd w:id="0" w:displacedByCustomXml="prev"/>
      <w:p w:rsidR="00313223" w:rsidRDefault="00313223">
        <w:pPr>
          <w:pStyle w:val="Pieddepage"/>
          <w:jc w:val="center"/>
        </w:pPr>
        <w:r>
          <w:fldChar w:fldCharType="begin"/>
        </w:r>
        <w:r>
          <w:instrText>PAGE   \* MERGEFORMAT</w:instrText>
        </w:r>
        <w:r>
          <w:fldChar w:fldCharType="separate"/>
        </w:r>
        <w:r>
          <w:rPr>
            <w:noProof/>
          </w:rPr>
          <w:t>2</w:t>
        </w:r>
        <w:r>
          <w:fldChar w:fldCharType="end"/>
        </w:r>
      </w:p>
    </w:sdtContent>
  </w:sdt>
  <w:p w:rsidR="00313223" w:rsidRDefault="0031322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23" w:rsidRDefault="003132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CC" w:rsidRDefault="003D66CC" w:rsidP="00360916">
      <w:pPr>
        <w:spacing w:after="0" w:line="240" w:lineRule="auto"/>
      </w:pPr>
      <w:r>
        <w:separator/>
      </w:r>
    </w:p>
  </w:footnote>
  <w:footnote w:type="continuationSeparator" w:id="0">
    <w:p w:rsidR="003D66CC" w:rsidRDefault="003D66CC" w:rsidP="00360916">
      <w:pPr>
        <w:spacing w:after="0" w:line="240" w:lineRule="auto"/>
      </w:pPr>
      <w:r>
        <w:continuationSeparator/>
      </w:r>
    </w:p>
  </w:footnote>
  <w:footnote w:id="1">
    <w:p w:rsidR="006448F0" w:rsidRPr="006448F0" w:rsidRDefault="006448F0" w:rsidP="006448F0">
      <w:pPr>
        <w:pStyle w:val="Notedebasdepage"/>
        <w:bidi/>
        <w:jc w:val="left"/>
        <w:rPr>
          <w:rFonts w:cs="Arabic Typesetting"/>
          <w:sz w:val="28"/>
          <w:szCs w:val="28"/>
          <w:rtl/>
        </w:rPr>
      </w:pPr>
      <w:r w:rsidRPr="006448F0">
        <w:rPr>
          <w:rStyle w:val="Appelnotedebasdep"/>
          <w:rFonts w:cs="Arabic Typesetting"/>
          <w:sz w:val="28"/>
          <w:szCs w:val="28"/>
          <w:vertAlign w:val="baseline"/>
        </w:rPr>
        <w:footnoteRef/>
      </w:r>
      <w:r w:rsidRPr="006448F0">
        <w:rPr>
          <w:rFonts w:cs="Arabic Typesetting"/>
          <w:sz w:val="28"/>
          <w:szCs w:val="28"/>
        </w:rPr>
        <w:t xml:space="preserve"> </w:t>
      </w:r>
      <w:r w:rsidRPr="006448F0">
        <w:rPr>
          <w:rFonts w:cs="Arabic Typesetting"/>
          <w:sz w:val="28"/>
          <w:szCs w:val="28"/>
          <w:rtl/>
        </w:rPr>
        <w:t xml:space="preserve"> </w:t>
      </w:r>
      <w:r w:rsidRPr="006448F0">
        <w:rPr>
          <w:rFonts w:cs="Arabic Typesetting"/>
          <w:sz w:val="28"/>
          <w:szCs w:val="28"/>
          <w:rtl/>
        </w:rPr>
        <w:t xml:space="preserve">التحفة السنية بشرح المقدمة </w:t>
      </w:r>
      <w:proofErr w:type="spellStart"/>
      <w:r w:rsidRPr="006448F0">
        <w:rPr>
          <w:rFonts w:cs="Arabic Typesetting"/>
          <w:sz w:val="28"/>
          <w:szCs w:val="28"/>
          <w:rtl/>
        </w:rPr>
        <w:t>الآجرومية</w:t>
      </w:r>
      <w:proofErr w:type="spellEnd"/>
      <w:r w:rsidRPr="006448F0">
        <w:rPr>
          <w:rFonts w:cs="Arabic Typesetting"/>
          <w:sz w:val="28"/>
          <w:szCs w:val="28"/>
          <w:rtl/>
        </w:rPr>
        <w:t xml:space="preserve"> </w:t>
      </w:r>
      <w:r w:rsidRPr="006448F0">
        <w:rPr>
          <w:rFonts w:cs="Arabic Typesetting"/>
          <w:sz w:val="28"/>
          <w:szCs w:val="28"/>
          <w:rtl/>
        </w:rPr>
        <w:t>–</w:t>
      </w:r>
      <w:r w:rsidRPr="006448F0">
        <w:rPr>
          <w:rFonts w:cs="Arabic Typesetting"/>
          <w:sz w:val="28"/>
          <w:szCs w:val="28"/>
          <w:rtl/>
        </w:rPr>
        <w:t xml:space="preserve"> محم</w:t>
      </w:r>
      <w:r w:rsidRPr="006448F0">
        <w:rPr>
          <w:rFonts w:cs="Arabic Typesetting"/>
          <w:sz w:val="28"/>
          <w:szCs w:val="28"/>
          <w:rtl/>
        </w:rPr>
        <w:t>ـ</w:t>
      </w:r>
      <w:r w:rsidRPr="006448F0">
        <w:rPr>
          <w:rFonts w:cs="Arabic Typesetting"/>
          <w:sz w:val="28"/>
          <w:szCs w:val="28"/>
          <w:rtl/>
        </w:rPr>
        <w:t>د محي الدين عبد الحميد - دار الفجر دمشق</w:t>
      </w:r>
      <w:r w:rsidRPr="006448F0">
        <w:rPr>
          <w:rFonts w:cs="Arabic Typesetting"/>
          <w:sz w:val="28"/>
          <w:szCs w:val="28"/>
        </w:rPr>
        <w:t>.</w:t>
      </w:r>
      <w:r w:rsidRPr="006448F0">
        <w:rPr>
          <w:rFonts w:cs="Arabic Typesetting"/>
          <w:sz w:val="28"/>
          <w:szCs w:val="28"/>
          <w:rtl/>
        </w:rPr>
        <w:t xml:space="preserve"> </w:t>
      </w:r>
    </w:p>
  </w:footnote>
  <w:footnote w:id="2">
    <w:p w:rsidR="006448F0" w:rsidRPr="006448F0" w:rsidRDefault="006448F0" w:rsidP="006448F0">
      <w:pPr>
        <w:pStyle w:val="Notedebasdepage"/>
        <w:bidi/>
        <w:jc w:val="left"/>
        <w:rPr>
          <w:rFonts w:cs="Arabic Typesetting"/>
          <w:sz w:val="28"/>
          <w:szCs w:val="28"/>
          <w:rtl/>
        </w:rPr>
      </w:pPr>
      <w:r w:rsidRPr="006448F0">
        <w:rPr>
          <w:rStyle w:val="Appelnotedebasdep"/>
          <w:rFonts w:cs="Arabic Typesetting"/>
          <w:sz w:val="28"/>
          <w:szCs w:val="28"/>
          <w:vertAlign w:val="baseline"/>
        </w:rPr>
        <w:footnoteRef/>
      </w:r>
      <w:r w:rsidRPr="006448F0">
        <w:rPr>
          <w:rFonts w:cs="Arabic Typesetting"/>
          <w:sz w:val="28"/>
          <w:szCs w:val="28"/>
        </w:rPr>
        <w:t xml:space="preserve"> </w:t>
      </w:r>
      <w:r>
        <w:rPr>
          <w:rFonts w:cs="Arabic Typesetting" w:hint="cs"/>
          <w:sz w:val="28"/>
          <w:szCs w:val="28"/>
          <w:rtl/>
        </w:rPr>
        <w:t xml:space="preserve">  </w:t>
      </w:r>
      <w:r w:rsidRPr="006448F0">
        <w:rPr>
          <w:rFonts w:cs="Arabic Typesetting"/>
          <w:sz w:val="28"/>
          <w:szCs w:val="28"/>
          <w:rtl/>
        </w:rPr>
        <w:t xml:space="preserve">جامع الدروس العربية - مصطفى </w:t>
      </w:r>
      <w:proofErr w:type="spellStart"/>
      <w:r w:rsidRPr="006448F0">
        <w:rPr>
          <w:rFonts w:cs="Arabic Typesetting"/>
          <w:sz w:val="28"/>
          <w:szCs w:val="28"/>
          <w:rtl/>
        </w:rPr>
        <w:t>الغلاييني</w:t>
      </w:r>
      <w:proofErr w:type="spellEnd"/>
      <w:r w:rsidRPr="006448F0">
        <w:rPr>
          <w:rFonts w:cs="Arabic Typesetting"/>
          <w:sz w:val="28"/>
          <w:szCs w:val="28"/>
          <w:rtl/>
        </w:rPr>
        <w:t xml:space="preserve"> - المكتبة العصرية - صيدا بيروت </w:t>
      </w:r>
      <w:r>
        <w:rPr>
          <w:rFonts w:cs="Arabic Typesetting" w:hint="cs"/>
          <w:sz w:val="28"/>
          <w:szCs w:val="28"/>
          <w:rtl/>
        </w:rPr>
        <w:t>، ص</w:t>
      </w:r>
      <w:r w:rsidRPr="006448F0">
        <w:rPr>
          <w:rFonts w:cs="Arabic Typesetting"/>
          <w:sz w:val="28"/>
          <w:szCs w:val="28"/>
          <w:rtl/>
        </w:rPr>
        <w:t>39</w:t>
      </w:r>
    </w:p>
  </w:footnote>
  <w:footnote w:id="3">
    <w:p w:rsidR="006448F0" w:rsidRPr="006448F0" w:rsidRDefault="006448F0" w:rsidP="006448F0">
      <w:pPr>
        <w:pStyle w:val="Notedebasdepage"/>
        <w:bidi/>
        <w:jc w:val="left"/>
        <w:rPr>
          <w:rFonts w:cs="Arabic Typesetting"/>
          <w:sz w:val="28"/>
          <w:szCs w:val="28"/>
          <w:rtl/>
        </w:rPr>
      </w:pPr>
      <w:r w:rsidRPr="006448F0">
        <w:rPr>
          <w:rStyle w:val="Appelnotedebasdep"/>
          <w:rFonts w:cs="Arabic Typesetting"/>
          <w:sz w:val="28"/>
          <w:szCs w:val="28"/>
          <w:vertAlign w:val="baseline"/>
        </w:rPr>
        <w:footnoteRef/>
      </w:r>
      <w:r w:rsidRPr="006448F0">
        <w:rPr>
          <w:rFonts w:cs="Arabic Typesetting"/>
          <w:sz w:val="28"/>
          <w:szCs w:val="28"/>
        </w:rPr>
        <w:t xml:space="preserve"> </w:t>
      </w:r>
      <w:r>
        <w:rPr>
          <w:rFonts w:cs="Arabic Typesetting" w:hint="cs"/>
          <w:sz w:val="28"/>
          <w:szCs w:val="28"/>
          <w:rtl/>
        </w:rPr>
        <w:t xml:space="preserve"> السنن الكبرى </w:t>
      </w:r>
      <w:proofErr w:type="spellStart"/>
      <w:r>
        <w:rPr>
          <w:rFonts w:cs="Arabic Typesetting" w:hint="cs"/>
          <w:sz w:val="28"/>
          <w:szCs w:val="28"/>
          <w:rtl/>
        </w:rPr>
        <w:t>للبهيقي</w:t>
      </w:r>
      <w:proofErr w:type="spellEnd"/>
      <w:r>
        <w:rPr>
          <w:rFonts w:cs="Arabic Typesetting" w:hint="cs"/>
          <w:sz w:val="28"/>
          <w:szCs w:val="28"/>
          <w:rtl/>
        </w:rPr>
        <w:t xml:space="preserve">، ط1، ص </w:t>
      </w:r>
    </w:p>
  </w:footnote>
  <w:footnote w:id="4">
    <w:p w:rsidR="00360916" w:rsidRPr="00A67455" w:rsidRDefault="00360916" w:rsidP="006448F0">
      <w:pPr>
        <w:bidi/>
        <w:spacing w:after="0" w:line="240" w:lineRule="auto"/>
        <w:jc w:val="left"/>
        <w:rPr>
          <w:rFonts w:cs="Arabic Typesetting"/>
          <w:szCs w:val="28"/>
          <w:rtl/>
        </w:rPr>
      </w:pPr>
      <w:r w:rsidRPr="006448F0">
        <w:rPr>
          <w:rStyle w:val="Appelnotedebasdep"/>
          <w:rFonts w:cs="Arabic Typesetting"/>
          <w:szCs w:val="28"/>
          <w:vertAlign w:val="baseline"/>
        </w:rPr>
        <w:footnoteRef/>
      </w:r>
      <w:r w:rsidRPr="00A67455">
        <w:rPr>
          <w:rFonts w:cs="Arabic Typesetting"/>
          <w:szCs w:val="28"/>
        </w:rPr>
        <w:t xml:space="preserve"> </w:t>
      </w:r>
      <w:r w:rsidRPr="00A67455">
        <w:rPr>
          <w:rFonts w:cs="Arabic Typesetting"/>
          <w:szCs w:val="28"/>
          <w:rtl/>
        </w:rPr>
        <w:t xml:space="preserve"> ينظر، </w:t>
      </w:r>
      <w:r w:rsidRPr="00A67455">
        <w:rPr>
          <w:rFonts w:cs="Arabic Typesetting"/>
          <w:szCs w:val="28"/>
          <w:rtl/>
        </w:rPr>
        <w:t>علم النحو، اطُّلع عليه بتاريخ 19-11-2018،</w:t>
      </w:r>
      <w:r w:rsidRPr="00A67455">
        <w:rPr>
          <w:rFonts w:cs="Arabic Typesetting"/>
          <w:szCs w:val="28"/>
          <w:rtl/>
        </w:rPr>
        <w:t xml:space="preserve">  </w:t>
      </w:r>
      <w:r w:rsidRPr="00A67455">
        <w:rPr>
          <w:rFonts w:cs="Arabic Typesetting"/>
          <w:szCs w:val="28"/>
        </w:rPr>
        <w:t>www.marefa.org</w:t>
      </w:r>
      <w:r w:rsidRPr="00A67455">
        <w:rPr>
          <w:rFonts w:cs="Arabic Typesetting"/>
          <w:szCs w:val="28"/>
          <w:rtl/>
        </w:rPr>
        <w:t xml:space="preserve"> </w:t>
      </w:r>
    </w:p>
  </w:footnote>
  <w:footnote w:id="5">
    <w:p w:rsidR="00A67455" w:rsidRPr="00A67455" w:rsidRDefault="00A67455" w:rsidP="00A67455">
      <w:pPr>
        <w:pStyle w:val="Notedebasdepage"/>
        <w:bidi/>
        <w:jc w:val="left"/>
        <w:rPr>
          <w:rFonts w:cs="Arabic Typesetting"/>
          <w:sz w:val="28"/>
          <w:szCs w:val="28"/>
          <w:rtl/>
        </w:rPr>
      </w:pPr>
      <w:r w:rsidRPr="00A67455">
        <w:rPr>
          <w:rStyle w:val="Appelnotedebasdep"/>
          <w:rFonts w:cs="Arabic Typesetting"/>
          <w:sz w:val="28"/>
          <w:szCs w:val="28"/>
          <w:vertAlign w:val="baseline"/>
        </w:rPr>
        <w:footnoteRef/>
      </w:r>
      <w:r w:rsidRPr="00A67455">
        <w:rPr>
          <w:rFonts w:cs="Arabic Typesetting"/>
          <w:sz w:val="28"/>
          <w:szCs w:val="28"/>
        </w:rPr>
        <w:t xml:space="preserve"> </w:t>
      </w:r>
      <w:r w:rsidR="00A758D9">
        <w:rPr>
          <w:rFonts w:cs="Arabic Typesetting" w:hint="cs"/>
          <w:sz w:val="28"/>
          <w:szCs w:val="28"/>
          <w:rtl/>
        </w:rPr>
        <w:t xml:space="preserve"> ينظر، </w:t>
      </w:r>
      <w:r>
        <w:rPr>
          <w:rFonts w:cs="Arabic Typesetting" w:hint="cs"/>
          <w:sz w:val="28"/>
          <w:szCs w:val="28"/>
          <w:rtl/>
        </w:rPr>
        <w:t xml:space="preserve"> </w:t>
      </w:r>
      <w:r w:rsidR="00A758D9">
        <w:rPr>
          <w:rFonts w:cs="Arabic Typesetting" w:hint="cs"/>
          <w:sz w:val="28"/>
          <w:szCs w:val="28"/>
          <w:rtl/>
        </w:rPr>
        <w:t xml:space="preserve">بن بوزيان محـمد، عبد القادر بقادر، </w:t>
      </w:r>
      <w:proofErr w:type="spellStart"/>
      <w:r w:rsidR="00A758D9">
        <w:rPr>
          <w:rFonts w:cs="Arabic Typesetting" w:hint="cs"/>
          <w:sz w:val="28"/>
          <w:szCs w:val="28"/>
          <w:rtl/>
        </w:rPr>
        <w:t>ساهلي</w:t>
      </w:r>
      <w:proofErr w:type="spellEnd"/>
      <w:r w:rsidR="00A758D9">
        <w:rPr>
          <w:rFonts w:cs="Arabic Typesetting" w:hint="cs"/>
          <w:sz w:val="28"/>
          <w:szCs w:val="28"/>
          <w:rtl/>
        </w:rPr>
        <w:t xml:space="preserve"> عبد الرحمن، مدرسة البصرة منهجها في الدراسة اللغوية، مجلة مقاربات مجلة دولية علمية ثقافية محكمة، المجلد2، العدد3( 49_58)، 29/03/2014، ص 49</w:t>
      </w:r>
    </w:p>
  </w:footnote>
  <w:footnote w:id="6">
    <w:p w:rsidR="00A67455" w:rsidRPr="00A67455" w:rsidRDefault="00A67455" w:rsidP="00A67455">
      <w:pPr>
        <w:pStyle w:val="Notedebasdepage"/>
        <w:bidi/>
        <w:jc w:val="left"/>
        <w:rPr>
          <w:rFonts w:cs="Arabic Typesetting"/>
          <w:sz w:val="28"/>
          <w:szCs w:val="28"/>
          <w:rtl/>
        </w:rPr>
      </w:pPr>
      <w:r w:rsidRPr="00A67455">
        <w:rPr>
          <w:rStyle w:val="Appelnotedebasdep"/>
          <w:rFonts w:cs="Arabic Typesetting"/>
          <w:sz w:val="28"/>
          <w:szCs w:val="28"/>
          <w:vertAlign w:val="baseline"/>
        </w:rPr>
        <w:footnoteRef/>
      </w:r>
      <w:r w:rsidRPr="00A67455">
        <w:rPr>
          <w:rFonts w:cs="Arabic Typesetting"/>
          <w:sz w:val="28"/>
          <w:szCs w:val="28"/>
        </w:rPr>
        <w:t xml:space="preserve"> </w:t>
      </w:r>
      <w:r w:rsidR="00A758D9">
        <w:rPr>
          <w:rFonts w:cs="Arabic Typesetting" w:hint="cs"/>
          <w:sz w:val="28"/>
          <w:szCs w:val="28"/>
          <w:rtl/>
        </w:rPr>
        <w:t xml:space="preserve">  ينظر، </w:t>
      </w:r>
      <w:proofErr w:type="gramStart"/>
      <w:r w:rsidR="00A758D9">
        <w:rPr>
          <w:rFonts w:cs="Arabic Typesetting" w:hint="cs"/>
          <w:sz w:val="28"/>
          <w:szCs w:val="28"/>
          <w:rtl/>
        </w:rPr>
        <w:t>المرجع</w:t>
      </w:r>
      <w:proofErr w:type="gramEnd"/>
      <w:r w:rsidR="00A758D9">
        <w:rPr>
          <w:rFonts w:cs="Arabic Typesetting" w:hint="cs"/>
          <w:sz w:val="28"/>
          <w:szCs w:val="28"/>
          <w:rtl/>
        </w:rPr>
        <w:t xml:space="preserve"> نفسه، ص 50_54</w:t>
      </w:r>
    </w:p>
  </w:footnote>
  <w:footnote w:id="7">
    <w:p w:rsidR="00C70ECB" w:rsidRPr="00C70ECB" w:rsidRDefault="00C70ECB" w:rsidP="00C70ECB">
      <w:pPr>
        <w:pStyle w:val="Notedebasdepage"/>
        <w:bidi/>
        <w:jc w:val="left"/>
        <w:rPr>
          <w:rFonts w:cs="Arabic Typesetting"/>
          <w:sz w:val="28"/>
          <w:szCs w:val="28"/>
          <w:rtl/>
        </w:rPr>
      </w:pPr>
      <w:r w:rsidRPr="00C70ECB">
        <w:rPr>
          <w:rStyle w:val="Appelnotedebasdep"/>
          <w:rFonts w:cs="Arabic Typesetting"/>
          <w:sz w:val="28"/>
          <w:szCs w:val="28"/>
          <w:vertAlign w:val="baseline"/>
        </w:rPr>
        <w:footnoteRef/>
      </w:r>
      <w:r w:rsidRPr="00C70ECB">
        <w:rPr>
          <w:rFonts w:cs="Arabic Typesetting"/>
          <w:sz w:val="28"/>
          <w:szCs w:val="28"/>
        </w:rPr>
        <w:t xml:space="preserve"> </w:t>
      </w:r>
      <w:r>
        <w:rPr>
          <w:rFonts w:cs="Arabic Typesetting" w:hint="cs"/>
          <w:sz w:val="28"/>
          <w:szCs w:val="28"/>
          <w:rtl/>
        </w:rPr>
        <w:t xml:space="preserve"> </w:t>
      </w:r>
      <w:r w:rsidRPr="00C70ECB">
        <w:rPr>
          <w:rFonts w:cs="Arabic Typesetting"/>
          <w:sz w:val="28"/>
          <w:szCs w:val="28"/>
          <w:rtl/>
        </w:rPr>
        <w:t xml:space="preserve">فراس رياض </w:t>
      </w:r>
      <w:proofErr w:type="spellStart"/>
      <w:r w:rsidRPr="00C70ECB">
        <w:rPr>
          <w:rFonts w:cs="Arabic Typesetting"/>
          <w:sz w:val="28"/>
          <w:szCs w:val="28"/>
          <w:rtl/>
        </w:rPr>
        <w:t>السقال</w:t>
      </w:r>
      <w:proofErr w:type="spellEnd"/>
      <w:r>
        <w:rPr>
          <w:rFonts w:cs="Arabic Typesetting" w:hint="cs"/>
          <w:sz w:val="28"/>
          <w:szCs w:val="28"/>
          <w:rtl/>
        </w:rPr>
        <w:t xml:space="preserve">، المدرسة الكوفية، </w:t>
      </w:r>
      <w:r>
        <w:rPr>
          <w:rFonts w:cs="Arabic Typesetting"/>
          <w:sz w:val="28"/>
          <w:szCs w:val="28"/>
          <w:rtl/>
        </w:rPr>
        <w:t xml:space="preserve"> 12/8/2017</w:t>
      </w:r>
      <w:r>
        <w:rPr>
          <w:rFonts w:cs="Arabic Typesetting" w:hint="cs"/>
          <w:sz w:val="28"/>
          <w:szCs w:val="28"/>
          <w:rtl/>
        </w:rPr>
        <w:t xml:space="preserve">، </w:t>
      </w:r>
      <w:hyperlink r:id="rId1" w:history="1">
        <w:r w:rsidRPr="00C53A1D">
          <w:rPr>
            <w:rStyle w:val="Lienhypertexte"/>
            <w:rFonts w:cs="Arabic Typesetting"/>
            <w:sz w:val="28"/>
            <w:szCs w:val="28"/>
          </w:rPr>
          <w:t>https://www.alukah.net/literature_language/0/119241</w:t>
        </w:r>
      </w:hyperlink>
      <w:r>
        <w:rPr>
          <w:rFonts w:cs="Arabic Typesetting"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23" w:rsidRDefault="003132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23" w:rsidRDefault="003132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23" w:rsidRDefault="003132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81B"/>
    <w:multiLevelType w:val="hybridMultilevel"/>
    <w:tmpl w:val="ED9655EE"/>
    <w:lvl w:ilvl="0" w:tplc="67602886">
      <w:start w:val="1"/>
      <w:numFmt w:val="decimal"/>
      <w:lvlText w:val="%1.3."/>
      <w:lvlJc w:val="left"/>
      <w:pPr>
        <w:ind w:left="820" w:hanging="360"/>
      </w:pPr>
      <w:rPr>
        <w:rFonts w:hint="default"/>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1">
    <w:nsid w:val="32397993"/>
    <w:multiLevelType w:val="hybridMultilevel"/>
    <w:tmpl w:val="9A206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8E5B8A"/>
    <w:multiLevelType w:val="hybridMultilevel"/>
    <w:tmpl w:val="8F7C19D8"/>
    <w:lvl w:ilvl="0" w:tplc="1458F98C">
      <w:start w:val="1"/>
      <w:numFmt w:val="decimal"/>
      <w:lvlText w:val="%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AE4F74"/>
    <w:multiLevelType w:val="hybridMultilevel"/>
    <w:tmpl w:val="6F129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C0"/>
    <w:rsid w:val="00083CC0"/>
    <w:rsid w:val="00313223"/>
    <w:rsid w:val="003240E6"/>
    <w:rsid w:val="00360916"/>
    <w:rsid w:val="003D66CC"/>
    <w:rsid w:val="00631260"/>
    <w:rsid w:val="006448F0"/>
    <w:rsid w:val="00A67455"/>
    <w:rsid w:val="00A758D9"/>
    <w:rsid w:val="00AF0BC9"/>
    <w:rsid w:val="00C70ECB"/>
    <w:rsid w:val="00DF0264"/>
    <w:rsid w:val="00E04F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6"/>
    <w:pPr>
      <w:jc w:val="right"/>
    </w:pPr>
    <w:rPr>
      <w:rFonts w:ascii="Arabic Typesetting" w:hAnsi="Arabic Typesetting"/>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0916"/>
    <w:pPr>
      <w:ind w:left="720"/>
      <w:contextualSpacing/>
    </w:pPr>
  </w:style>
  <w:style w:type="paragraph" w:styleId="Notedebasdepage">
    <w:name w:val="footnote text"/>
    <w:basedOn w:val="Normal"/>
    <w:link w:val="NotedebasdepageCar"/>
    <w:uiPriority w:val="99"/>
    <w:semiHidden/>
    <w:unhideWhenUsed/>
    <w:rsid w:val="003609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0916"/>
    <w:rPr>
      <w:sz w:val="20"/>
      <w:szCs w:val="20"/>
    </w:rPr>
  </w:style>
  <w:style w:type="character" w:styleId="Appelnotedebasdep">
    <w:name w:val="footnote reference"/>
    <w:basedOn w:val="Policepardfaut"/>
    <w:uiPriority w:val="99"/>
    <w:semiHidden/>
    <w:unhideWhenUsed/>
    <w:rsid w:val="00360916"/>
    <w:rPr>
      <w:vertAlign w:val="superscript"/>
    </w:rPr>
  </w:style>
  <w:style w:type="character" w:styleId="Lienhypertexte">
    <w:name w:val="Hyperlink"/>
    <w:basedOn w:val="Policepardfaut"/>
    <w:uiPriority w:val="99"/>
    <w:unhideWhenUsed/>
    <w:rsid w:val="00C70ECB"/>
    <w:rPr>
      <w:color w:val="0000FF" w:themeColor="hyperlink"/>
      <w:u w:val="single"/>
    </w:rPr>
  </w:style>
  <w:style w:type="paragraph" w:styleId="En-tte">
    <w:name w:val="header"/>
    <w:basedOn w:val="Normal"/>
    <w:link w:val="En-tteCar"/>
    <w:uiPriority w:val="99"/>
    <w:unhideWhenUsed/>
    <w:rsid w:val="00313223"/>
    <w:pPr>
      <w:tabs>
        <w:tab w:val="center" w:pos="4536"/>
        <w:tab w:val="right" w:pos="9072"/>
      </w:tabs>
      <w:spacing w:after="0" w:line="240" w:lineRule="auto"/>
    </w:pPr>
  </w:style>
  <w:style w:type="character" w:customStyle="1" w:styleId="En-tteCar">
    <w:name w:val="En-tête Car"/>
    <w:basedOn w:val="Policepardfaut"/>
    <w:link w:val="En-tte"/>
    <w:uiPriority w:val="99"/>
    <w:rsid w:val="00313223"/>
    <w:rPr>
      <w:rFonts w:ascii="Arabic Typesetting" w:hAnsi="Arabic Typesetting"/>
      <w:sz w:val="28"/>
    </w:rPr>
  </w:style>
  <w:style w:type="paragraph" w:styleId="Pieddepage">
    <w:name w:val="footer"/>
    <w:basedOn w:val="Normal"/>
    <w:link w:val="PieddepageCar"/>
    <w:uiPriority w:val="99"/>
    <w:unhideWhenUsed/>
    <w:rsid w:val="00313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223"/>
    <w:rPr>
      <w:rFonts w:ascii="Arabic Typesetting" w:hAnsi="Arabic Typesetting"/>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6"/>
    <w:pPr>
      <w:jc w:val="right"/>
    </w:pPr>
    <w:rPr>
      <w:rFonts w:ascii="Arabic Typesetting" w:hAnsi="Arabic Typesetting"/>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0916"/>
    <w:pPr>
      <w:ind w:left="720"/>
      <w:contextualSpacing/>
    </w:pPr>
  </w:style>
  <w:style w:type="paragraph" w:styleId="Notedebasdepage">
    <w:name w:val="footnote text"/>
    <w:basedOn w:val="Normal"/>
    <w:link w:val="NotedebasdepageCar"/>
    <w:uiPriority w:val="99"/>
    <w:semiHidden/>
    <w:unhideWhenUsed/>
    <w:rsid w:val="003609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0916"/>
    <w:rPr>
      <w:sz w:val="20"/>
      <w:szCs w:val="20"/>
    </w:rPr>
  </w:style>
  <w:style w:type="character" w:styleId="Appelnotedebasdep">
    <w:name w:val="footnote reference"/>
    <w:basedOn w:val="Policepardfaut"/>
    <w:uiPriority w:val="99"/>
    <w:semiHidden/>
    <w:unhideWhenUsed/>
    <w:rsid w:val="00360916"/>
    <w:rPr>
      <w:vertAlign w:val="superscript"/>
    </w:rPr>
  </w:style>
  <w:style w:type="character" w:styleId="Lienhypertexte">
    <w:name w:val="Hyperlink"/>
    <w:basedOn w:val="Policepardfaut"/>
    <w:uiPriority w:val="99"/>
    <w:unhideWhenUsed/>
    <w:rsid w:val="00C70ECB"/>
    <w:rPr>
      <w:color w:val="0000FF" w:themeColor="hyperlink"/>
      <w:u w:val="single"/>
    </w:rPr>
  </w:style>
  <w:style w:type="paragraph" w:styleId="En-tte">
    <w:name w:val="header"/>
    <w:basedOn w:val="Normal"/>
    <w:link w:val="En-tteCar"/>
    <w:uiPriority w:val="99"/>
    <w:unhideWhenUsed/>
    <w:rsid w:val="00313223"/>
    <w:pPr>
      <w:tabs>
        <w:tab w:val="center" w:pos="4536"/>
        <w:tab w:val="right" w:pos="9072"/>
      </w:tabs>
      <w:spacing w:after="0" w:line="240" w:lineRule="auto"/>
    </w:pPr>
  </w:style>
  <w:style w:type="character" w:customStyle="1" w:styleId="En-tteCar">
    <w:name w:val="En-tête Car"/>
    <w:basedOn w:val="Policepardfaut"/>
    <w:link w:val="En-tte"/>
    <w:uiPriority w:val="99"/>
    <w:rsid w:val="00313223"/>
    <w:rPr>
      <w:rFonts w:ascii="Arabic Typesetting" w:hAnsi="Arabic Typesetting"/>
      <w:sz w:val="28"/>
    </w:rPr>
  </w:style>
  <w:style w:type="paragraph" w:styleId="Pieddepage">
    <w:name w:val="footer"/>
    <w:basedOn w:val="Normal"/>
    <w:link w:val="PieddepageCar"/>
    <w:uiPriority w:val="99"/>
    <w:unhideWhenUsed/>
    <w:rsid w:val="003132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223"/>
    <w:rPr>
      <w:rFonts w:ascii="Arabic Typesetting" w:hAnsi="Arabic Typesetting"/>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lukah.net/literature_language/0/11924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4E1D-91BE-4DD8-88F6-038D1F90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2024-12-04T08:40:00Z</dcterms:created>
  <dcterms:modified xsi:type="dcterms:W3CDTF">2024-12-04T09:42:00Z</dcterms:modified>
</cp:coreProperties>
</file>