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4901" w:type="dxa"/>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8"/>
        <w:gridCol w:w="231"/>
        <w:gridCol w:w="222"/>
      </w:tblGrid>
      <w:tr w:rsidR="004924C8" w:rsidTr="004924C8">
        <w:trPr>
          <w:trHeight w:val="1814"/>
        </w:trPr>
        <w:tc>
          <w:tcPr>
            <w:tcW w:w="4679" w:type="dxa"/>
            <w:gridSpan w:val="2"/>
          </w:tcPr>
          <w:p w:rsidR="004D513D" w:rsidRDefault="004D513D" w:rsidP="0092587E">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السنة الثالثة ليسانس (قانون خاص) .</w:t>
            </w:r>
          </w:p>
          <w:p w:rsidR="004D513D" w:rsidRDefault="004D513D" w:rsidP="004D513D">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مقياس المصطلحات.</w:t>
            </w:r>
          </w:p>
          <w:p w:rsidR="004D513D" w:rsidRDefault="004D513D" w:rsidP="004D513D">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السداسي الخامس .</w:t>
            </w:r>
          </w:p>
          <w:p w:rsidR="004D513D" w:rsidRDefault="004D513D" w:rsidP="00727FAA">
            <w:pPr>
              <w:bidi/>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الموسم الجامعي </w:t>
            </w:r>
            <w:r w:rsidR="00A268D6">
              <w:rPr>
                <w:rFonts w:ascii="Traditional Arabic" w:hAnsi="Traditional Arabic" w:cs="Traditional Arabic" w:hint="cs"/>
                <w:b/>
                <w:bCs/>
                <w:sz w:val="32"/>
                <w:szCs w:val="32"/>
                <w:rtl/>
              </w:rPr>
              <w:t>202</w:t>
            </w:r>
            <w:r w:rsidR="00727FAA">
              <w:rPr>
                <w:rFonts w:ascii="Traditional Arabic" w:hAnsi="Traditional Arabic" w:cs="Traditional Arabic" w:hint="cs"/>
                <w:b/>
                <w:bCs/>
                <w:sz w:val="32"/>
                <w:szCs w:val="32"/>
                <w:rtl/>
              </w:rPr>
              <w:t>4</w:t>
            </w:r>
            <w:r w:rsidR="00A268D6">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2</w:t>
            </w:r>
            <w:r w:rsidR="00727FAA">
              <w:rPr>
                <w:rFonts w:ascii="Traditional Arabic" w:hAnsi="Traditional Arabic" w:cs="Traditional Arabic" w:hint="cs"/>
                <w:b/>
                <w:bCs/>
                <w:sz w:val="32"/>
                <w:szCs w:val="32"/>
                <w:rtl/>
              </w:rPr>
              <w:t>5</w:t>
            </w:r>
            <w:r w:rsidR="00A268D6">
              <w:rPr>
                <w:rFonts w:ascii="Traditional Arabic" w:hAnsi="Traditional Arabic" w:cs="Traditional Arabic"/>
                <w:b/>
                <w:bCs/>
                <w:sz w:val="32"/>
                <w:szCs w:val="32"/>
              </w:rPr>
              <w:t>0</w:t>
            </w:r>
            <w:r>
              <w:rPr>
                <w:rFonts w:ascii="Traditional Arabic" w:hAnsi="Traditional Arabic" w:cs="Traditional Arabic" w:hint="cs"/>
                <w:b/>
                <w:bCs/>
                <w:sz w:val="32"/>
                <w:szCs w:val="32"/>
                <w:rtl/>
              </w:rPr>
              <w:t>2.</w:t>
            </w: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Pr>
            </w:pPr>
          </w:p>
          <w:p w:rsidR="004D513D" w:rsidRDefault="004D513D" w:rsidP="004D513D">
            <w:pPr>
              <w:bidi/>
              <w:rPr>
                <w:rFonts w:ascii="Traditional Arabic" w:hAnsi="Traditional Arabic" w:cs="Traditional Arabic"/>
                <w:sz w:val="32"/>
                <w:szCs w:val="32"/>
                <w:rtl/>
              </w:rPr>
            </w:pPr>
            <w:r w:rsidRPr="004D513D">
              <w:rPr>
                <w:rFonts w:ascii="Traditional Arabic" w:hAnsi="Traditional Arabic" w:cs="Traditional Arabic" w:hint="cs"/>
                <w:b/>
                <w:bCs/>
                <w:sz w:val="32"/>
                <w:szCs w:val="32"/>
                <w:rtl/>
              </w:rPr>
              <w:t>اتحاد الذمة (القانون المدني</w:t>
            </w:r>
            <w:r>
              <w:rPr>
                <w:rFonts w:ascii="Traditional Arabic" w:hAnsi="Traditional Arabic" w:cs="Traditional Arabic" w:hint="cs"/>
                <w:sz w:val="32"/>
                <w:szCs w:val="32"/>
                <w:rtl/>
              </w:rPr>
              <w:t>)</w:t>
            </w:r>
          </w:p>
          <w:p w:rsidR="004D513D" w:rsidRPr="00311A3D" w:rsidRDefault="004D513D" w:rsidP="004D513D">
            <w:pPr>
              <w:bidi/>
              <w:rPr>
                <w:rFonts w:ascii="Traditional Arabic" w:hAnsi="Traditional Arabic" w:cs="Traditional Arabic"/>
                <w:sz w:val="32"/>
                <w:szCs w:val="32"/>
                <w:rtl/>
              </w:rPr>
            </w:pPr>
          </w:p>
          <w:p w:rsidR="004924C8" w:rsidRPr="00311A3D" w:rsidRDefault="004924C8" w:rsidP="0092587E">
            <w:pPr>
              <w:bidi/>
              <w:rPr>
                <w:rFonts w:ascii="Traditional Arabic" w:hAnsi="Traditional Arabic" w:cs="Traditional Arabic"/>
                <w:sz w:val="32"/>
                <w:szCs w:val="32"/>
                <w:rtl/>
              </w:rPr>
            </w:pPr>
            <w:r>
              <w:rPr>
                <w:rFonts w:ascii="Traditional Arabic" w:hAnsi="Traditional Arabic" w:cs="Traditional Arabic"/>
                <w:sz w:val="32"/>
                <w:szCs w:val="32"/>
                <w:rtl/>
              </w:rPr>
              <w:t>هو أن يجتمع في شخص واحد صفت</w:t>
            </w:r>
            <w:r w:rsidR="00723661">
              <w:rPr>
                <w:rFonts w:ascii="Traditional Arabic" w:hAnsi="Traditional Arabic" w:cs="Traditional Arabic" w:hint="cs"/>
                <w:sz w:val="32"/>
                <w:szCs w:val="32"/>
                <w:rtl/>
              </w:rPr>
              <w:t>ا</w:t>
            </w:r>
            <w:r>
              <w:rPr>
                <w:rFonts w:ascii="Traditional Arabic" w:hAnsi="Traditional Arabic" w:cs="Traditional Arabic"/>
                <w:sz w:val="32"/>
                <w:szCs w:val="32"/>
              </w:rPr>
              <w:t xml:space="preserve"> </w:t>
            </w:r>
            <w:r w:rsidRPr="00311A3D">
              <w:rPr>
                <w:rFonts w:ascii="Traditional Arabic" w:hAnsi="Traditional Arabic" w:cs="Traditional Arabic"/>
                <w:sz w:val="32"/>
                <w:szCs w:val="32"/>
                <w:rtl/>
              </w:rPr>
              <w:t>الدائن والمدين بالنسبة إلى دين واحد. وفي هذه الحالة ينقضي الدين.</w:t>
            </w:r>
          </w:p>
          <w:p w:rsidR="004924C8" w:rsidRDefault="004924C8" w:rsidP="0092587E">
            <w:pPr>
              <w:bidi/>
              <w:rPr>
                <w:rFonts w:ascii="Traditional Arabic" w:hAnsi="Traditional Arabic" w:cs="Traditional Arabic"/>
                <w:sz w:val="32"/>
                <w:szCs w:val="32"/>
              </w:rPr>
            </w:pPr>
            <w:r w:rsidRPr="00311A3D">
              <w:rPr>
                <w:rFonts w:ascii="Traditional Arabic" w:hAnsi="Traditional Arabic" w:cs="Traditional Arabic"/>
                <w:sz w:val="32"/>
                <w:szCs w:val="32"/>
                <w:rtl/>
              </w:rPr>
              <w:t>راجع المادة 304 من القانون المدني.</w:t>
            </w:r>
          </w:p>
          <w:p w:rsidR="004924C8" w:rsidRPr="00311A3D" w:rsidRDefault="004924C8" w:rsidP="004924C8">
            <w:pPr>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CONFUSION </w:t>
            </w:r>
            <w:r w:rsidRPr="00311A3D">
              <w:rPr>
                <w:rFonts w:ascii="Traditional Arabic" w:hAnsi="Traditional Arabic" w:cs="Traditional Arabic"/>
                <w:sz w:val="32"/>
                <w:szCs w:val="32"/>
              </w:rPr>
              <w:t>(dr. civ)</w:t>
            </w:r>
          </w:p>
          <w:p w:rsidR="004924C8" w:rsidRDefault="004924C8" w:rsidP="004924C8">
            <w:pPr>
              <w:bidi/>
              <w:rPr>
                <w:rFonts w:ascii="Traditional Arabic" w:hAnsi="Traditional Arabic" w:cs="Traditional Arabic"/>
                <w:sz w:val="32"/>
                <w:szCs w:val="32"/>
              </w:rPr>
            </w:pPr>
          </w:p>
          <w:p w:rsidR="004924C8" w:rsidRPr="00311A3D" w:rsidRDefault="004924C8" w:rsidP="007D51EB">
            <w:pPr>
              <w:rPr>
                <w:rFonts w:ascii="Traditional Arabic" w:hAnsi="Traditional Arabic" w:cs="Traditional Arabic"/>
                <w:sz w:val="32"/>
                <w:szCs w:val="32"/>
              </w:rPr>
            </w:pPr>
            <w:r w:rsidRPr="00311A3D">
              <w:rPr>
                <w:rFonts w:ascii="Traditional Arabic" w:hAnsi="Traditional Arabic" w:cs="Traditional Arabic"/>
                <w:sz w:val="32"/>
                <w:szCs w:val="32"/>
              </w:rPr>
              <w:t xml:space="preserve">La confusion est la réunion sur la même personne, des qualités de créancier et de débiteur, d’une même dette ; dans ce cas celle-ci s V. Art. 304 du c. civ.’éteint. </w:t>
            </w:r>
          </w:p>
          <w:p w:rsidR="004924C8" w:rsidRPr="00311A3D" w:rsidRDefault="004924C8" w:rsidP="0092587E">
            <w:pPr>
              <w:bidi/>
              <w:rPr>
                <w:rFonts w:ascii="Traditional Arabic" w:hAnsi="Traditional Arabic" w:cs="Traditional Arabic"/>
                <w:sz w:val="32"/>
                <w:szCs w:val="32"/>
                <w:rtl/>
              </w:rPr>
            </w:pPr>
          </w:p>
          <w:p w:rsidR="004924C8" w:rsidRPr="00311A3D" w:rsidRDefault="004924C8" w:rsidP="0092587E">
            <w:pPr>
              <w:bidi/>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الأثر الموقف لطرق الطعن:</w:t>
            </w:r>
          </w:p>
          <w:p w:rsidR="004924C8" w:rsidRPr="00311A3D" w:rsidRDefault="004924C8" w:rsidP="0092587E">
            <w:pPr>
              <w:bidi/>
              <w:rPr>
                <w:rFonts w:ascii="Traditional Arabic" w:hAnsi="Traditional Arabic" w:cs="Traditional Arabic"/>
                <w:sz w:val="32"/>
                <w:szCs w:val="32"/>
                <w:rtl/>
              </w:rPr>
            </w:pPr>
            <w:r w:rsidRPr="00311A3D">
              <w:rPr>
                <w:rFonts w:ascii="Traditional Arabic" w:hAnsi="Traditional Arabic" w:cs="Traditional Arabic"/>
                <w:sz w:val="32"/>
                <w:szCs w:val="32"/>
                <w:rtl/>
              </w:rPr>
              <w:lastRenderedPageBreak/>
              <w:t>(الإجراءات المدنية).</w:t>
            </w:r>
          </w:p>
          <w:p w:rsidR="004924C8" w:rsidRPr="00311A3D" w:rsidRDefault="004924C8" w:rsidP="005E6BBF">
            <w:pPr>
              <w:bidi/>
              <w:rPr>
                <w:rFonts w:ascii="Traditional Arabic" w:hAnsi="Traditional Arabic" w:cs="Traditional Arabic"/>
                <w:sz w:val="32"/>
                <w:szCs w:val="32"/>
                <w:rtl/>
              </w:rPr>
            </w:pPr>
            <w:r w:rsidRPr="00311A3D">
              <w:rPr>
                <w:rFonts w:ascii="Traditional Arabic" w:hAnsi="Traditional Arabic" w:cs="Traditional Arabic"/>
                <w:sz w:val="32"/>
                <w:szCs w:val="32"/>
                <w:rtl/>
              </w:rPr>
              <w:t xml:space="preserve">لطرق الطعن العادية (الإستئناف </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 xml:space="preserve"> المعارضة) أثر موقف حيث يعلق تنفيذ الحكم أثناء مدة أجل الإستئناف أو المعارضة، إلا إذا أمر بالتنفيذ المعجل (إستعجال، خطر من جراء التأخير....)، أما فيما يخص طرق الطعن غير العادية فليس لها أثر موقف.</w:t>
            </w:r>
          </w:p>
          <w:p w:rsidR="004924C8" w:rsidRPr="00311A3D" w:rsidRDefault="004924C8" w:rsidP="004924C8">
            <w:pPr>
              <w:rPr>
                <w:rFonts w:ascii="Traditional Arabic" w:hAnsi="Traditional Arabic" w:cs="Traditional Arabic"/>
                <w:b/>
                <w:bCs/>
                <w:sz w:val="32"/>
                <w:szCs w:val="32"/>
              </w:rPr>
            </w:pPr>
            <w:r w:rsidRPr="00311A3D">
              <w:rPr>
                <w:rFonts w:ascii="Traditional Arabic" w:hAnsi="Traditional Arabic" w:cs="Traditional Arabic"/>
                <w:b/>
                <w:bCs/>
                <w:sz w:val="32"/>
                <w:szCs w:val="32"/>
              </w:rPr>
              <w:t>EFFET SUSPENSIF DES VOIES DE RECOURS (pr. Civ.)</w:t>
            </w:r>
          </w:p>
          <w:p w:rsidR="004924C8" w:rsidRDefault="004924C8" w:rsidP="0092587E">
            <w:pPr>
              <w:bidi/>
              <w:rPr>
                <w:rFonts w:ascii="Traditional Arabic" w:hAnsi="Traditional Arabic" w:cs="Traditional Arabic"/>
                <w:b/>
                <w:bCs/>
                <w:sz w:val="32"/>
                <w:szCs w:val="32"/>
              </w:rPr>
            </w:pPr>
          </w:p>
          <w:p w:rsidR="004924C8" w:rsidRPr="00311A3D" w:rsidRDefault="004924C8" w:rsidP="005E6BBF">
            <w:pPr>
              <w:rPr>
                <w:rFonts w:ascii="Traditional Arabic" w:hAnsi="Traditional Arabic" w:cs="Traditional Arabic"/>
                <w:sz w:val="32"/>
                <w:szCs w:val="32"/>
                <w:rtl/>
              </w:rPr>
            </w:pPr>
            <w:r w:rsidRPr="00311A3D">
              <w:rPr>
                <w:rFonts w:ascii="Traditional Arabic" w:hAnsi="Traditional Arabic" w:cs="Traditional Arabic"/>
                <w:sz w:val="32"/>
                <w:szCs w:val="32"/>
              </w:rPr>
              <w:t>Les voies de recours ordinaires (appel, opposition ont un effet suspensif ou l’exécution du jugement est suspendue pendant la durée du délai d’appel ou de l’opposition sauf si l’exécution provisoire a été ordonnée (urgence, péril en la demeure). L’exercice des voies de recours extraordin</w:t>
            </w:r>
            <w:r w:rsidR="005E6BBF">
              <w:rPr>
                <w:rFonts w:ascii="Traditional Arabic" w:hAnsi="Traditional Arabic" w:cs="Traditional Arabic"/>
                <w:sz w:val="32"/>
                <w:szCs w:val="32"/>
              </w:rPr>
              <w:t>aires n’a pas d’effet suspensif</w:t>
            </w:r>
            <w:r w:rsidRPr="00311A3D">
              <w:rPr>
                <w:rFonts w:ascii="Traditional Arabic" w:hAnsi="Traditional Arabic" w:cs="Traditional Arabic"/>
                <w:sz w:val="32"/>
                <w:szCs w:val="32"/>
              </w:rPr>
              <w:t>.</w:t>
            </w:r>
          </w:p>
          <w:p w:rsidR="004924C8" w:rsidRDefault="004924C8" w:rsidP="0092587E">
            <w:pPr>
              <w:bidi/>
              <w:rPr>
                <w:rFonts w:ascii="Traditional Arabic" w:hAnsi="Traditional Arabic" w:cs="Traditional Arabic"/>
                <w:b/>
                <w:bCs/>
                <w:sz w:val="32"/>
                <w:szCs w:val="32"/>
              </w:rPr>
            </w:pPr>
          </w:p>
          <w:p w:rsidR="004924C8" w:rsidRDefault="004924C8" w:rsidP="0092587E">
            <w:pPr>
              <w:bidi/>
              <w:rPr>
                <w:rFonts w:ascii="Traditional Arabic" w:hAnsi="Traditional Arabic" w:cs="Traditional Arabic"/>
                <w:b/>
                <w:bCs/>
                <w:sz w:val="32"/>
                <w:szCs w:val="32"/>
              </w:rPr>
            </w:pPr>
          </w:p>
          <w:p w:rsidR="004924C8" w:rsidRPr="00311A3D" w:rsidRDefault="004924C8" w:rsidP="0092587E">
            <w:pPr>
              <w:bidi/>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إجراء تحفظي: </w:t>
            </w:r>
            <w:r w:rsidRPr="00311A3D">
              <w:rPr>
                <w:rFonts w:ascii="Traditional Arabic" w:hAnsi="Traditional Arabic" w:cs="Traditional Arabic"/>
                <w:sz w:val="32"/>
                <w:szCs w:val="32"/>
                <w:rtl/>
              </w:rPr>
              <w:t>(الإجراءات المدنية)</w:t>
            </w:r>
          </w:p>
          <w:p w:rsidR="004924C8" w:rsidRPr="00311A3D" w:rsidRDefault="004924C8" w:rsidP="0092587E">
            <w:pPr>
              <w:bidi/>
              <w:rPr>
                <w:rFonts w:ascii="Traditional Arabic" w:hAnsi="Traditional Arabic" w:cs="Traditional Arabic"/>
                <w:sz w:val="32"/>
                <w:szCs w:val="32"/>
                <w:rtl/>
              </w:rPr>
            </w:pPr>
            <w:r w:rsidRPr="00311A3D">
              <w:rPr>
                <w:rFonts w:ascii="Traditional Arabic" w:hAnsi="Traditional Arabic" w:cs="Traditional Arabic"/>
                <w:sz w:val="32"/>
                <w:szCs w:val="32"/>
                <w:rtl/>
              </w:rPr>
              <w:t>إجراء استعجالي يتخذ بغية تثبيت ذمة مالية، المحافظة عليها أو إنقاذها من ضرر وشيك الوقوع.</w:t>
            </w:r>
          </w:p>
          <w:p w:rsidR="004924C8" w:rsidRPr="00311A3D" w:rsidRDefault="004924C8" w:rsidP="0092587E">
            <w:pPr>
              <w:bidi/>
              <w:rPr>
                <w:rFonts w:ascii="Traditional Arabic" w:hAnsi="Traditional Arabic" w:cs="Traditional Arabic"/>
                <w:sz w:val="32"/>
                <w:szCs w:val="32"/>
                <w:rtl/>
              </w:rPr>
            </w:pPr>
            <w:r w:rsidRPr="00311A3D">
              <w:rPr>
                <w:rFonts w:ascii="Traditional Arabic" w:hAnsi="Traditional Arabic" w:cs="Traditional Arabic"/>
                <w:sz w:val="32"/>
                <w:szCs w:val="32"/>
                <w:rtl/>
              </w:rPr>
              <w:t>مثال: اعذار مدين.</w:t>
            </w:r>
          </w:p>
          <w:p w:rsidR="004924C8" w:rsidRPr="00311A3D" w:rsidRDefault="004924C8" w:rsidP="0092587E">
            <w:pPr>
              <w:pStyle w:val="Paragraphedeliste"/>
              <w:numPr>
                <w:ilvl w:val="0"/>
                <w:numId w:val="1"/>
              </w:numPr>
              <w:tabs>
                <w:tab w:val="right" w:pos="283"/>
              </w:tabs>
              <w:bidi/>
              <w:ind w:left="0" w:firstLine="0"/>
              <w:rPr>
                <w:rFonts w:ascii="Traditional Arabic" w:hAnsi="Traditional Arabic" w:cs="Traditional Arabic"/>
                <w:sz w:val="32"/>
                <w:szCs w:val="32"/>
              </w:rPr>
            </w:pPr>
            <w:r w:rsidRPr="00311A3D">
              <w:rPr>
                <w:rFonts w:ascii="Traditional Arabic" w:hAnsi="Traditional Arabic" w:cs="Traditional Arabic"/>
                <w:sz w:val="32"/>
                <w:szCs w:val="32"/>
                <w:rtl/>
              </w:rPr>
              <w:t>محضر إثبات حالة يقوم به عون التنفيذ.</w:t>
            </w:r>
          </w:p>
          <w:p w:rsidR="004924C8" w:rsidRPr="00311A3D" w:rsidRDefault="004924C8" w:rsidP="0092587E">
            <w:pPr>
              <w:pStyle w:val="Paragraphedeliste"/>
              <w:numPr>
                <w:ilvl w:val="0"/>
                <w:numId w:val="1"/>
              </w:numPr>
              <w:tabs>
                <w:tab w:val="right" w:pos="283"/>
              </w:tabs>
              <w:bidi/>
              <w:ind w:left="0" w:firstLine="0"/>
              <w:rPr>
                <w:rFonts w:ascii="Traditional Arabic" w:hAnsi="Traditional Arabic" w:cs="Traditional Arabic"/>
                <w:sz w:val="32"/>
                <w:szCs w:val="32"/>
              </w:rPr>
            </w:pPr>
            <w:r w:rsidRPr="00311A3D">
              <w:rPr>
                <w:rFonts w:ascii="Traditional Arabic" w:hAnsi="Traditional Arabic" w:cs="Traditional Arabic"/>
                <w:sz w:val="32"/>
                <w:szCs w:val="32"/>
                <w:rtl/>
              </w:rPr>
              <w:lastRenderedPageBreak/>
              <w:t>قيد رهن.</w:t>
            </w:r>
          </w:p>
          <w:p w:rsidR="004924C8" w:rsidRPr="00C650F1" w:rsidRDefault="004924C8" w:rsidP="0092587E">
            <w:pPr>
              <w:pStyle w:val="Paragraphedeliste"/>
              <w:numPr>
                <w:ilvl w:val="0"/>
                <w:numId w:val="1"/>
              </w:numPr>
              <w:tabs>
                <w:tab w:val="right" w:pos="283"/>
              </w:tabs>
              <w:bidi/>
              <w:ind w:left="0" w:firstLine="0"/>
              <w:rPr>
                <w:rFonts w:ascii="Traditional Arabic" w:hAnsi="Traditional Arabic" w:cs="Traditional Arabic"/>
                <w:sz w:val="32"/>
                <w:szCs w:val="32"/>
              </w:rPr>
            </w:pPr>
            <w:r w:rsidRPr="00311A3D">
              <w:rPr>
                <w:rFonts w:ascii="Traditional Arabic" w:hAnsi="Traditional Arabic" w:cs="Traditional Arabic"/>
                <w:sz w:val="32"/>
                <w:szCs w:val="32"/>
                <w:rtl/>
              </w:rPr>
              <w:t>رفع دعوى استعجالية من أجل المطالبة بإثبات وقائع يمكن أن تطمس أدل</w:t>
            </w:r>
            <w:bookmarkStart w:id="0" w:name="_GoBack"/>
            <w:bookmarkEnd w:id="0"/>
            <w:r w:rsidRPr="00311A3D">
              <w:rPr>
                <w:rFonts w:ascii="Traditional Arabic" w:hAnsi="Traditional Arabic" w:cs="Traditional Arabic"/>
                <w:sz w:val="32"/>
                <w:szCs w:val="32"/>
                <w:rtl/>
              </w:rPr>
              <w:t>ّتها... إلخ.</w:t>
            </w:r>
          </w:p>
          <w:p w:rsidR="004924C8" w:rsidRPr="00311A3D" w:rsidRDefault="004924C8" w:rsidP="004924C8">
            <w:pPr>
              <w:pStyle w:val="Paragraphedeliste"/>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ACTE CONSERVATOIRE </w:t>
            </w:r>
            <w:r w:rsidRPr="00311A3D">
              <w:rPr>
                <w:rFonts w:ascii="Traditional Arabic" w:hAnsi="Traditional Arabic" w:cs="Traditional Arabic"/>
                <w:sz w:val="32"/>
                <w:szCs w:val="32"/>
              </w:rPr>
              <w:t>(pr. Civ.)</w:t>
            </w:r>
          </w:p>
          <w:p w:rsidR="004924C8" w:rsidRPr="00311A3D" w:rsidRDefault="004924C8" w:rsidP="004924C8">
            <w:pPr>
              <w:pStyle w:val="Paragraphedeliste"/>
              <w:ind w:left="0"/>
              <w:rPr>
                <w:rFonts w:ascii="Traditional Arabic" w:hAnsi="Traditional Arabic" w:cs="Traditional Arabic"/>
                <w:sz w:val="32"/>
                <w:szCs w:val="32"/>
              </w:rPr>
            </w:pPr>
            <w:r w:rsidRPr="00311A3D">
              <w:rPr>
                <w:rFonts w:ascii="Traditional Arabic" w:hAnsi="Traditional Arabic" w:cs="Traditional Arabic"/>
                <w:sz w:val="32"/>
                <w:szCs w:val="32"/>
              </w:rPr>
              <w:t>Mesure urgente prise dans le dessein de consolider, de maintenir ou de soustraire à un péril imminent un patrimoine.</w:t>
            </w:r>
          </w:p>
          <w:p w:rsidR="004924C8" w:rsidRPr="00311A3D" w:rsidRDefault="004924C8" w:rsidP="004924C8">
            <w:pPr>
              <w:pStyle w:val="Paragraphedeliste"/>
              <w:ind w:left="0"/>
              <w:rPr>
                <w:rFonts w:ascii="Traditional Arabic" w:hAnsi="Traditional Arabic" w:cs="Traditional Arabic"/>
                <w:sz w:val="32"/>
                <w:szCs w:val="32"/>
              </w:rPr>
            </w:pPr>
            <w:r w:rsidRPr="00311A3D">
              <w:rPr>
                <w:rFonts w:ascii="Traditional Arabic" w:hAnsi="Traditional Arabic" w:cs="Traditional Arabic"/>
                <w:sz w:val="32"/>
                <w:szCs w:val="32"/>
              </w:rPr>
              <w:t>Exemples :</w:t>
            </w:r>
          </w:p>
          <w:p w:rsidR="004924C8" w:rsidRPr="00311A3D" w:rsidRDefault="004924C8" w:rsidP="004924C8">
            <w:pPr>
              <w:pStyle w:val="Paragraphedeliste"/>
              <w:numPr>
                <w:ilvl w:val="0"/>
                <w:numId w:val="3"/>
              </w:numPr>
              <w:tabs>
                <w:tab w:val="left" w:pos="179"/>
              </w:tabs>
              <w:ind w:left="37" w:firstLine="0"/>
              <w:rPr>
                <w:rFonts w:ascii="Traditional Arabic" w:hAnsi="Traditional Arabic" w:cs="Traditional Arabic"/>
                <w:sz w:val="32"/>
                <w:szCs w:val="32"/>
              </w:rPr>
            </w:pPr>
            <w:r w:rsidRPr="00311A3D">
              <w:rPr>
                <w:rFonts w:ascii="Traditional Arabic" w:hAnsi="Traditional Arabic" w:cs="Traditional Arabic"/>
                <w:sz w:val="32"/>
                <w:szCs w:val="32"/>
              </w:rPr>
              <w:t>Mise en demeure d’un débiteur.</w:t>
            </w:r>
          </w:p>
          <w:p w:rsidR="004924C8" w:rsidRPr="00311A3D" w:rsidRDefault="004924C8" w:rsidP="004924C8">
            <w:pPr>
              <w:pStyle w:val="Paragraphedeliste"/>
              <w:numPr>
                <w:ilvl w:val="0"/>
                <w:numId w:val="3"/>
              </w:numPr>
              <w:tabs>
                <w:tab w:val="left" w:pos="179"/>
              </w:tabs>
              <w:ind w:left="37" w:firstLine="0"/>
              <w:rPr>
                <w:rFonts w:ascii="Traditional Arabic" w:hAnsi="Traditional Arabic" w:cs="Traditional Arabic"/>
                <w:sz w:val="32"/>
                <w:szCs w:val="32"/>
              </w:rPr>
            </w:pPr>
            <w:r w:rsidRPr="00311A3D">
              <w:rPr>
                <w:rFonts w:ascii="Traditional Arabic" w:hAnsi="Traditional Arabic" w:cs="Traditional Arabic"/>
                <w:sz w:val="32"/>
                <w:szCs w:val="32"/>
              </w:rPr>
              <w:t>Constats d’huissier.</w:t>
            </w:r>
          </w:p>
          <w:p w:rsidR="004924C8" w:rsidRPr="00311A3D" w:rsidRDefault="004924C8" w:rsidP="004924C8">
            <w:pPr>
              <w:pStyle w:val="Paragraphedeliste"/>
              <w:numPr>
                <w:ilvl w:val="0"/>
                <w:numId w:val="3"/>
              </w:numPr>
              <w:tabs>
                <w:tab w:val="left" w:pos="179"/>
              </w:tabs>
              <w:ind w:left="37" w:firstLine="0"/>
              <w:rPr>
                <w:rFonts w:ascii="Traditional Arabic" w:hAnsi="Traditional Arabic" w:cs="Traditional Arabic"/>
                <w:sz w:val="32"/>
                <w:szCs w:val="32"/>
              </w:rPr>
            </w:pPr>
            <w:r w:rsidRPr="00311A3D">
              <w:rPr>
                <w:rFonts w:ascii="Traditional Arabic" w:hAnsi="Traditional Arabic" w:cs="Traditional Arabic"/>
                <w:sz w:val="32"/>
                <w:szCs w:val="32"/>
              </w:rPr>
              <w:t>Inscription d’une hypothèse.</w:t>
            </w:r>
          </w:p>
          <w:p w:rsidR="004924C8" w:rsidRDefault="004924C8" w:rsidP="004924C8">
            <w:pPr>
              <w:pStyle w:val="Paragraphedeliste"/>
              <w:numPr>
                <w:ilvl w:val="0"/>
                <w:numId w:val="3"/>
              </w:numPr>
              <w:tabs>
                <w:tab w:val="left" w:pos="179"/>
              </w:tabs>
              <w:ind w:left="37" w:firstLine="0"/>
              <w:rPr>
                <w:rFonts w:ascii="Traditional Arabic" w:hAnsi="Traditional Arabic" w:cs="Traditional Arabic"/>
                <w:sz w:val="32"/>
                <w:szCs w:val="32"/>
              </w:rPr>
            </w:pPr>
            <w:r w:rsidRPr="00311A3D">
              <w:rPr>
                <w:rFonts w:ascii="Traditional Arabic" w:hAnsi="Traditional Arabic" w:cs="Traditional Arabic"/>
                <w:sz w:val="32"/>
                <w:szCs w:val="32"/>
              </w:rPr>
              <w:t>Action en référé afin de demander la constatation des faits dont la preuve menace de dépérir, etc…</w:t>
            </w:r>
          </w:p>
          <w:p w:rsidR="004924C8" w:rsidRPr="004924C8" w:rsidRDefault="004924C8" w:rsidP="004924C8">
            <w:pPr>
              <w:pStyle w:val="Paragraphedeliste"/>
              <w:tabs>
                <w:tab w:val="left" w:pos="179"/>
              </w:tabs>
              <w:ind w:left="37"/>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إجراء مستعجل: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 xml:space="preserve">إجراء يباشر أمام قاضي الأمور المستعجلة عندما يتعلق الأمر بالبت مؤقتاً في إشكالات التنفيذ أو في جميع الأحوال التي تتطلب </w:t>
            </w:r>
            <w:r w:rsidR="0052728A" w:rsidRPr="00311A3D">
              <w:rPr>
                <w:rFonts w:ascii="Traditional Arabic" w:hAnsi="Traditional Arabic" w:cs="Traditional Arabic" w:hint="cs"/>
                <w:sz w:val="32"/>
                <w:szCs w:val="32"/>
                <w:rtl/>
              </w:rPr>
              <w:t>الاستعجال</w:t>
            </w:r>
            <w:r w:rsidRPr="00311A3D">
              <w:rPr>
                <w:rFonts w:ascii="Traditional Arabic" w:hAnsi="Traditional Arabic" w:cs="Traditional Arabic"/>
                <w:sz w:val="32"/>
                <w:szCs w:val="32"/>
                <w:rtl/>
              </w:rPr>
              <w:t>.</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لا تمس الأوامر الصادرة في المواد المستعجلة أصل الحق، وهي معجلة النفاذ بكفالة أو بدونها.</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 xml:space="preserve">راجع المواد 183 </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 xml:space="preserve"> 190 من قانون الإجراءات المدنية.</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RE</w:t>
            </w:r>
            <w:r>
              <w:rPr>
                <w:rFonts w:ascii="Traditional Arabic" w:hAnsi="Traditional Arabic" w:cs="Traditional Arabic"/>
                <w:b/>
                <w:bCs/>
                <w:sz w:val="32"/>
                <w:szCs w:val="32"/>
              </w:rPr>
              <w:t>F</w:t>
            </w:r>
            <w:r w:rsidRPr="00311A3D">
              <w:rPr>
                <w:rFonts w:ascii="Traditional Arabic" w:hAnsi="Traditional Arabic" w:cs="Traditional Arabic"/>
                <w:b/>
                <w:bCs/>
                <w:sz w:val="32"/>
                <w:szCs w:val="32"/>
              </w:rPr>
              <w:t xml:space="preserve">ERE </w:t>
            </w:r>
            <w:r w:rsidRPr="00311A3D">
              <w:rPr>
                <w:rFonts w:ascii="Traditional Arabic" w:hAnsi="Traditional Arabic" w:cs="Traditional Arabic"/>
                <w:sz w:val="32"/>
                <w:szCs w:val="32"/>
              </w:rPr>
              <w:t>(pr.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 xml:space="preserve">Procédure exercée devant le juge </w:t>
            </w:r>
            <w:r w:rsidRPr="00311A3D">
              <w:rPr>
                <w:rFonts w:ascii="Traditional Arabic" w:hAnsi="Traditional Arabic" w:cs="Traditional Arabic"/>
                <w:sz w:val="32"/>
                <w:szCs w:val="32"/>
              </w:rPr>
              <w:lastRenderedPageBreak/>
              <w:t>des</w:t>
            </w:r>
            <w:r w:rsidR="005E6BBF">
              <w:rPr>
                <w:rFonts w:ascii="Traditional Arabic" w:hAnsi="Traditional Arabic" w:cs="Traditional Arabic"/>
                <w:sz w:val="32"/>
                <w:szCs w:val="32"/>
              </w:rPr>
              <w:t xml:space="preserve"> référés</w:t>
            </w:r>
            <w:r w:rsidR="003334CB">
              <w:rPr>
                <w:rFonts w:ascii="Traditional Arabic" w:hAnsi="Traditional Arabic" w:cs="Traditional Arabic"/>
                <w:sz w:val="32"/>
                <w:szCs w:val="32"/>
              </w:rPr>
              <w:t xml:space="preserve"> </w:t>
            </w:r>
            <w:r w:rsidR="005E6BBF">
              <w:rPr>
                <w:rFonts w:ascii="Traditional Arabic" w:hAnsi="Traditional Arabic" w:cs="Traditional Arabic"/>
                <w:sz w:val="32"/>
                <w:szCs w:val="32"/>
              </w:rPr>
              <w:t>lorsqu’ il</w:t>
            </w:r>
            <w:r w:rsidRPr="00311A3D">
              <w:rPr>
                <w:rFonts w:ascii="Traditional Arabic" w:hAnsi="Traditional Arabic" w:cs="Traditional Arabic"/>
                <w:sz w:val="32"/>
                <w:szCs w:val="32"/>
              </w:rPr>
              <w:t xml:space="preserve"> </w:t>
            </w:r>
            <w:r w:rsidR="005E6BBF">
              <w:rPr>
                <w:rFonts w:ascii="Traditional Arabic" w:hAnsi="Traditional Arabic" w:cs="Traditional Arabic"/>
                <w:sz w:val="32"/>
                <w:szCs w:val="32"/>
              </w:rPr>
              <w:t>s’agit de st</w:t>
            </w:r>
            <w:r w:rsidR="00F1757C">
              <w:rPr>
                <w:rFonts w:ascii="Traditional Arabic" w:hAnsi="Traditional Arabic" w:cs="Traditional Arabic"/>
                <w:sz w:val="32"/>
                <w:szCs w:val="32"/>
              </w:rPr>
              <w:t>a</w:t>
            </w:r>
            <w:r w:rsidR="005E6BBF">
              <w:rPr>
                <w:rFonts w:ascii="Traditional Arabic" w:hAnsi="Traditional Arabic" w:cs="Traditional Arabic"/>
                <w:sz w:val="32"/>
                <w:szCs w:val="32"/>
              </w:rPr>
              <w:t xml:space="preserve">tuer provisoirement sur les </w:t>
            </w:r>
            <w:r w:rsidR="0052728A">
              <w:rPr>
                <w:rFonts w:ascii="Traditional Arabic" w:hAnsi="Traditional Arabic" w:cs="Traditional Arabic"/>
                <w:sz w:val="32"/>
                <w:szCs w:val="32"/>
              </w:rPr>
              <w:t>difficultés</w:t>
            </w:r>
            <w:r w:rsidR="005E6BBF">
              <w:rPr>
                <w:rFonts w:ascii="Traditional Arabic" w:hAnsi="Traditional Arabic" w:cs="Traditional Arabic"/>
                <w:sz w:val="32"/>
                <w:szCs w:val="32"/>
              </w:rPr>
              <w:t xml:space="preserve"> </w:t>
            </w:r>
            <w:r w:rsidRPr="00311A3D">
              <w:rPr>
                <w:rFonts w:ascii="Traditional Arabic" w:hAnsi="Traditional Arabic" w:cs="Traditional Arabic"/>
                <w:sz w:val="32"/>
                <w:szCs w:val="32"/>
              </w:rPr>
              <w:t>d’exécution ou tous les cas d’urgence.</w:t>
            </w:r>
          </w:p>
          <w:p w:rsidR="004924C8" w:rsidRPr="00311A3D" w:rsidRDefault="004924C8" w:rsidP="005E6BBF">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Les ordonnances de référé ne préjudicient pas au principal ; elles sont exécutoires par provision avec ou sans caution.</w:t>
            </w:r>
          </w:p>
          <w:p w:rsidR="004924C8" w:rsidRPr="005E6BBF" w:rsidRDefault="004924C8" w:rsidP="005E6BBF">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183-190 du c. pr. Civ.</w:t>
            </w:r>
          </w:p>
          <w:p w:rsidR="004924C8" w:rsidRPr="00311A3D" w:rsidRDefault="004924C8" w:rsidP="0092587E">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إجراءات حضورية: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(الإجراءات المدنية). (الإجراءات الجنائية).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هو حضور المدعي والمدعي عليه أثناء سير دعوى، وتقديم عرائضهما.</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PROCEDURE CONTRADICTOIRE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bookmarkStart w:id="1" w:name="_Hlk63263652"/>
            <w:r w:rsidRPr="00311A3D">
              <w:rPr>
                <w:rFonts w:ascii="Traditional Arabic" w:hAnsi="Traditional Arabic" w:cs="Traditional Arabic"/>
                <w:sz w:val="32"/>
                <w:szCs w:val="32"/>
              </w:rPr>
              <w:t>(pr. Civ.) (pr. pen.)</w:t>
            </w:r>
          </w:p>
          <w:bookmarkEnd w:id="1"/>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Dans un procès, fait pour le demandeur et le défendeur de comparaitre et de déposer des conclusions.</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إجراءات غيابية: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(الإجراءات المدنية). (الإجراءات الجنائية).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هو غياب المدعي عليه أثناء سير دعوى.</w:t>
            </w: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PROCEDURE PAR DEFAUT</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(pr. Civ.) (pr.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 xml:space="preserve">Procédure dans laquelle le </w:t>
            </w:r>
            <w:r w:rsidRPr="00311A3D">
              <w:rPr>
                <w:rFonts w:ascii="Traditional Arabic" w:hAnsi="Traditional Arabic" w:cs="Traditional Arabic"/>
                <w:sz w:val="32"/>
                <w:szCs w:val="32"/>
              </w:rPr>
              <w:lastRenderedPageBreak/>
              <w:t>défendeur n’a pas comparu.</w:t>
            </w:r>
          </w:p>
          <w:p w:rsidR="004924C8" w:rsidRP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Default="004924C8" w:rsidP="00C63213">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b/>
                <w:bCs/>
                <w:sz w:val="32"/>
                <w:szCs w:val="32"/>
                <w:rtl/>
              </w:rPr>
              <w:t xml:space="preserve">أجل الإستئناف: </w:t>
            </w:r>
            <w:r w:rsidRPr="00311A3D">
              <w:rPr>
                <w:rFonts w:ascii="Traditional Arabic" w:hAnsi="Traditional Arabic" w:cs="Traditional Arabic"/>
                <w:sz w:val="32"/>
                <w:szCs w:val="32"/>
                <w:rtl/>
              </w:rPr>
              <w:t>(الإجراءات المدنية). (الإجراءات الجنائية).</w:t>
            </w:r>
          </w:p>
          <w:p w:rsidR="004924C8" w:rsidRDefault="004924C8" w:rsidP="00C63213">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مدة شرعية تمنح للأطراف حتى يقومون بمباشرة حقهم في الإستئناف على حكم صدر من محكمة الدرجة الأولى.</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DELAI D’APPEL </w:t>
            </w:r>
            <w:r w:rsidRPr="00311A3D">
              <w:rPr>
                <w:rFonts w:ascii="Traditional Arabic" w:hAnsi="Traditional Arabic" w:cs="Traditional Arabic"/>
                <w:sz w:val="32"/>
                <w:szCs w:val="32"/>
              </w:rPr>
              <w:t>(pr. Civ.) (pr.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Délai légal donné aux parties pour saisir la juridiction statuant en appel d’une décision rendue par le tribunal en premier ressort.</w:t>
            </w: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sz w:val="32"/>
                <w:szCs w:val="32"/>
              </w:rPr>
              <w:t>V. APPEL.</w:t>
            </w:r>
          </w:p>
          <w:p w:rsidR="004924C8" w:rsidRPr="00A4734E" w:rsidRDefault="004924C8" w:rsidP="004924C8">
            <w:pPr>
              <w:pStyle w:val="Paragraphedeliste"/>
              <w:tabs>
                <w:tab w:val="left" w:pos="567"/>
              </w:tabs>
              <w:bidi/>
              <w:ind w:left="0"/>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إحالة لوحدة الموضوع: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هو أن ترفع أمام جهتين قضائيتين مختلفتين نفس القضية وبين نفس الأطراف.</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يجب الدفع بالإحالة لوحدة الموضوع قبل كل دفاع في الموضوع.</w:t>
            </w:r>
          </w:p>
          <w:p w:rsidR="004924C8" w:rsidRDefault="004924C8" w:rsidP="0092587E">
            <w:pPr>
              <w:bidi/>
              <w:rPr>
                <w:rFonts w:ascii="Traditional Arabic" w:hAnsi="Traditional Arabic" w:cs="Traditional Arabic"/>
                <w:sz w:val="32"/>
                <w:szCs w:val="32"/>
              </w:rPr>
            </w:pPr>
            <w:r w:rsidRPr="00311A3D">
              <w:rPr>
                <w:rFonts w:ascii="Traditional Arabic" w:hAnsi="Traditional Arabic" w:cs="Traditional Arabic"/>
                <w:sz w:val="32"/>
                <w:szCs w:val="32"/>
                <w:rtl/>
              </w:rPr>
              <w:t>راجع المادة 92 من قانون الإجراءات المدنية.</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LITISPENDANCE </w:t>
            </w:r>
            <w:r w:rsidRPr="00311A3D">
              <w:rPr>
                <w:rFonts w:ascii="Traditional Arabic" w:hAnsi="Traditional Arabic" w:cs="Traditional Arabic"/>
                <w:sz w:val="32"/>
                <w:szCs w:val="32"/>
              </w:rPr>
              <w:t xml:space="preserve">(pr. Civ.) </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Situation résultant du fait que deux juridictions sont saisies d’un même procès entre les mêmes parties. L’exception de litispendance est soulevée avant tout débat au fond.</w:t>
            </w:r>
          </w:p>
          <w:p w:rsidR="004924C8" w:rsidRPr="001B4437"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sz w:val="32"/>
                <w:szCs w:val="32"/>
              </w:rPr>
              <w:t>V. Art. 92 du C. PR. CIV.</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lastRenderedPageBreak/>
              <w:t>إختصاص محلي:</w:t>
            </w:r>
            <w:r w:rsidRPr="00311A3D">
              <w:rPr>
                <w:rFonts w:ascii="Traditional Arabic" w:hAnsi="Traditional Arabic" w:cs="Traditional Arabic"/>
                <w:sz w:val="32"/>
                <w:szCs w:val="32"/>
                <w:rtl/>
              </w:rPr>
              <w:t xml:space="preserve"> (الإجراءات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هو إختصاص جهة قضائية بالنظر لمكان النزاع أو موقعه الجغرافي (موطن المدعي عليه، مكان افتتاح التركة، المركز الرئيسي لشركة...)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8 إلى 11 من قانون الإجراءات المدنية.</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COMPETENCE TERRITORIALE </w:t>
            </w:r>
            <w:r w:rsidRPr="00311A3D">
              <w:rPr>
                <w:rFonts w:ascii="Traditional Arabic" w:hAnsi="Traditional Arabic" w:cs="Traditional Arabic"/>
                <w:sz w:val="32"/>
                <w:szCs w:val="32"/>
              </w:rPr>
              <w:t xml:space="preserve">(pr. Civ.) </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Compétence d’une juridiction en fonction du lieu ou de la situation géographique de litige (lieu du domicile du défendeur, lieu de l’ouverture de la succession, lieu du siège social d’une société etc…)</w:t>
            </w: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sz w:val="32"/>
                <w:szCs w:val="32"/>
              </w:rPr>
              <w:t>V. Art. 8 à 11 du c. pr. civ.</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الإختصاص النوعي: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صلاحية محكمة أو مجلس قضائي في الفصل في نزا</w:t>
            </w:r>
            <w:r w:rsidR="003334CB">
              <w:rPr>
                <w:rFonts w:ascii="Traditional Arabic" w:hAnsi="Traditional Arabic" w:cs="Traditional Arabic"/>
                <w:sz w:val="32"/>
                <w:szCs w:val="32"/>
                <w:rtl/>
              </w:rPr>
              <w:t>ع أو دعوى قضائية مطروحة أمامه ب</w:t>
            </w:r>
            <w:r w:rsidR="003334CB">
              <w:rPr>
                <w:rFonts w:ascii="Traditional Arabic" w:hAnsi="Traditional Arabic" w:cs="Traditional Arabic" w:hint="cs"/>
                <w:sz w:val="32"/>
                <w:szCs w:val="32"/>
                <w:rtl/>
              </w:rPr>
              <w:t>ن</w:t>
            </w:r>
            <w:r w:rsidRPr="00311A3D">
              <w:rPr>
                <w:rFonts w:ascii="Traditional Arabic" w:hAnsi="Traditional Arabic" w:cs="Traditional Arabic"/>
                <w:sz w:val="32"/>
                <w:szCs w:val="32"/>
                <w:rtl/>
              </w:rPr>
              <w:t>اء على موضوعها أو قيمتها النقدية.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الأولى إلى 4 من قانون الإجراءات المدنية:</w:t>
            </w:r>
          </w:p>
          <w:p w:rsidR="004924C8" w:rsidRPr="00311A3D" w:rsidRDefault="004924C8" w:rsidP="003F12C2">
            <w:pPr>
              <w:pStyle w:val="Paragraphedeliste"/>
              <w:numPr>
                <w:ilvl w:val="0"/>
                <w:numId w:val="2"/>
              </w:numPr>
              <w:tabs>
                <w:tab w:val="left" w:pos="148"/>
                <w:tab w:val="right" w:pos="290"/>
              </w:tabs>
              <w:bidi/>
              <w:ind w:left="7" w:firstLine="0"/>
              <w:rPr>
                <w:rFonts w:ascii="Traditional Arabic" w:hAnsi="Traditional Arabic" w:cs="Traditional Arabic"/>
                <w:sz w:val="32"/>
                <w:szCs w:val="32"/>
              </w:rPr>
            </w:pPr>
            <w:r w:rsidRPr="00311A3D">
              <w:rPr>
                <w:rFonts w:ascii="Traditional Arabic" w:hAnsi="Traditional Arabic" w:cs="Traditional Arabic"/>
                <w:sz w:val="32"/>
                <w:szCs w:val="32"/>
                <w:rtl/>
              </w:rPr>
              <w:t>الإختصاص النوعي للمحاكم.</w:t>
            </w:r>
          </w:p>
          <w:p w:rsidR="004924C8" w:rsidRPr="00311A3D" w:rsidRDefault="004924C8" w:rsidP="003F12C2">
            <w:pPr>
              <w:pStyle w:val="Paragraphedeliste"/>
              <w:tabs>
                <w:tab w:val="left" w:pos="0"/>
                <w:tab w:val="left" w:pos="148"/>
                <w:tab w:val="right" w:pos="290"/>
              </w:tabs>
              <w:bidi/>
              <w:ind w:left="7"/>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5 إلى 7 من نفس القانون.</w:t>
            </w:r>
          </w:p>
          <w:p w:rsidR="004924C8" w:rsidRDefault="004924C8" w:rsidP="00A4734E">
            <w:pPr>
              <w:pStyle w:val="Paragraphedeliste"/>
              <w:numPr>
                <w:ilvl w:val="0"/>
                <w:numId w:val="2"/>
              </w:numPr>
              <w:tabs>
                <w:tab w:val="left" w:pos="0"/>
                <w:tab w:val="left" w:pos="148"/>
                <w:tab w:val="right" w:pos="290"/>
              </w:tabs>
              <w:bidi/>
              <w:ind w:left="7" w:firstLine="0"/>
              <w:rPr>
                <w:rFonts w:ascii="Traditional Arabic" w:hAnsi="Traditional Arabic" w:cs="Traditional Arabic"/>
                <w:sz w:val="32"/>
                <w:szCs w:val="32"/>
              </w:rPr>
            </w:pPr>
            <w:r w:rsidRPr="00311A3D">
              <w:rPr>
                <w:rFonts w:ascii="Traditional Arabic" w:hAnsi="Traditional Arabic" w:cs="Traditional Arabic"/>
                <w:sz w:val="32"/>
                <w:szCs w:val="32"/>
                <w:rtl/>
              </w:rPr>
              <w:t>الإختصاص النوعي للمجالس القضائية.</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COMPETENCE D’ATTRIBUTION</w:t>
            </w:r>
            <w:r w:rsidRPr="00311A3D">
              <w:rPr>
                <w:rFonts w:ascii="Traditional Arabic" w:hAnsi="Traditional Arabic" w:cs="Traditional Arabic"/>
                <w:sz w:val="32"/>
                <w:szCs w:val="32"/>
              </w:rPr>
              <w:t xml:space="preserve"> (pr.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 xml:space="preserve">Aptitude d’un tribunal ou d’une </w:t>
            </w:r>
            <w:r w:rsidRPr="00311A3D">
              <w:rPr>
                <w:rFonts w:ascii="Traditional Arabic" w:hAnsi="Traditional Arabic" w:cs="Traditional Arabic"/>
                <w:sz w:val="32"/>
                <w:szCs w:val="32"/>
              </w:rPr>
              <w:lastRenderedPageBreak/>
              <w:t>cour à connaitre d’un litige en fonction de son objet et de sa valeur pécuniaire.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1</w:t>
            </w:r>
            <w:r w:rsidRPr="00311A3D">
              <w:rPr>
                <w:rFonts w:ascii="Traditional Arabic" w:hAnsi="Traditional Arabic" w:cs="Traditional Arabic"/>
                <w:sz w:val="32"/>
                <w:szCs w:val="32"/>
                <w:vertAlign w:val="superscript"/>
              </w:rPr>
              <w:t>er</w:t>
            </w:r>
            <w:r w:rsidRPr="00311A3D">
              <w:rPr>
                <w:rFonts w:ascii="Traditional Arabic" w:hAnsi="Traditional Arabic" w:cs="Traditional Arabic"/>
                <w:sz w:val="32"/>
                <w:szCs w:val="32"/>
              </w:rPr>
              <w:t xml:space="preserve"> à 4 du c. 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Compétence d’attribution des tribunaux.</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5 à 7 du même code.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Compétence d’attribution des cours.</w:t>
            </w:r>
          </w:p>
          <w:p w:rsidR="004924C8" w:rsidRPr="00A4734E" w:rsidRDefault="004924C8" w:rsidP="004924C8">
            <w:pPr>
              <w:pStyle w:val="Paragraphedeliste"/>
              <w:tabs>
                <w:tab w:val="left" w:pos="0"/>
                <w:tab w:val="left" w:pos="148"/>
                <w:tab w:val="right" w:pos="290"/>
              </w:tabs>
              <w:bidi/>
              <w:ind w:left="7"/>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إختلاس: </w:t>
            </w: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هو أن يقوم موظف يحمل لقب قاضي، أو شخص تولى وظيفة أو وكالة ولو كانت مؤقتة في خدمة الدولة، الإدارات العمومية، الأجهزة المصرفية، بتبديد، إختلاس، الإخفاء الإحتيالي، الإحتجاز بدون وجه حق لأموال عمومية أو خاصة، أو وثائق ومستندات أو عقوداً أو أموالًا منقولة كانت بين يديه بحكم وظيفته، مما يشكل حسب الضرر عقوبة سالبة للحرية تتراوح ما بين سنتين إلى عشر سنوات إذا كانت قيمة الأشياء المختلسة لا تتجاوز 50،000 دج، ومن عشر إلى عشرين سنة إذا كانت قيمتها تتجاوز أو تساوي هذا المبلغ. وأخيراً يعاقب بالإعدام كل اختلاس يلحق ضررًا بالغًا بالوطن.</w:t>
            </w:r>
          </w:p>
          <w:p w:rsidR="004924C8" w:rsidRPr="00311A3D" w:rsidRDefault="004924C8" w:rsidP="00F61FA9">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119 من قانون العقوبات.</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DETOURNEMENT </w:t>
            </w:r>
            <w:r w:rsidRPr="00311A3D">
              <w:rPr>
                <w:rFonts w:ascii="Traditional Arabic" w:hAnsi="Traditional Arabic" w:cs="Traditional Arabic"/>
                <w:sz w:val="32"/>
                <w:szCs w:val="32"/>
              </w:rPr>
              <w:t>(dr.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 xml:space="preserve">Fait pour un fonctionnaire ayant le titre de magistrat, ou investi dans une fonction ou un mandat même temporaire au service de l’état, des administrations publiques, des </w:t>
            </w:r>
            <w:r w:rsidRPr="00311A3D">
              <w:rPr>
                <w:rFonts w:ascii="Traditional Arabic" w:hAnsi="Traditional Arabic" w:cs="Traditional Arabic"/>
                <w:sz w:val="32"/>
                <w:szCs w:val="32"/>
              </w:rPr>
              <w:lastRenderedPageBreak/>
              <w:t>collectivités locales, des établissements publics, des organismes bancaires : de dissiper, détourner, soustraire frauduleusement, ou de retenir indument des deniers publics ou privés, des titres, actes ou effets mobiliers qui étaient entre ses mains en vertu de ses fonctions, ce qui constitue selon le préjudice subi une peine privative de liberté allant de 2 à 10 ans lorsque la valeur des choses détournées n’excédé pas 50.000 DA, ; de 10 à 20 ans lorsque la valeur est supérieure ou égale à cette somme, enfin la peine de mort lorsque le détournement a gravement lésé l’intérêt de la nation.</w:t>
            </w:r>
          </w:p>
          <w:p w:rsidR="004924C8" w:rsidRPr="004924C8"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119 du c. pen.</w:t>
            </w:r>
          </w:p>
          <w:p w:rsidR="004924C8" w:rsidRPr="00311A3D" w:rsidRDefault="004924C8" w:rsidP="000F559B">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أخلاقيات المهنة، علم الواجبات:</w:t>
            </w:r>
          </w:p>
          <w:p w:rsidR="004924C8" w:rsidRPr="00F61FA9" w:rsidRDefault="004924C8" w:rsidP="00F61FA9">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مجموعة القواعد الأدبية والقانونية التي تسير العلاقات بين الأشخاص الذين ينتمون إلى هيئة مهنية معينة، والتي يستلزم إحترامها.</w:t>
            </w: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DEONTOLOGIE</w:t>
            </w:r>
          </w:p>
          <w:p w:rsidR="004924C8" w:rsidRPr="004924C8"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 xml:space="preserve">Ensemble de règles (morales et juridiques) qui régissent les rapports des personnes appartenant à un même corps professionnel et qui </w:t>
            </w:r>
            <w:r w:rsidRPr="00311A3D">
              <w:rPr>
                <w:rFonts w:ascii="Traditional Arabic" w:hAnsi="Traditional Arabic" w:cs="Traditional Arabic"/>
                <w:sz w:val="32"/>
                <w:szCs w:val="32"/>
              </w:rPr>
              <w:lastRenderedPageBreak/>
              <w:t>doivent être impérativement respectées.</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إخوة لأب: </w:t>
            </w:r>
            <w:r w:rsidRPr="00311A3D">
              <w:rPr>
                <w:rFonts w:ascii="Traditional Arabic" w:hAnsi="Traditional Arabic" w:cs="Traditional Arabic"/>
                <w:sz w:val="32"/>
                <w:szCs w:val="32"/>
                <w:rtl/>
              </w:rPr>
              <w:t>(القانون المدني).</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إخوة وأخوات ينحدرون من أب واحد.</w:t>
            </w:r>
          </w:p>
          <w:p w:rsidR="004924C8" w:rsidRDefault="004924C8" w:rsidP="004924C8">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إخوة لأم.</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CONSANGUINS </w:t>
            </w:r>
            <w:r w:rsidRPr="00311A3D">
              <w:rPr>
                <w:rFonts w:ascii="Traditional Arabic" w:hAnsi="Traditional Arabic" w:cs="Traditional Arabic"/>
                <w:sz w:val="32"/>
                <w:szCs w:val="32"/>
              </w:rPr>
              <w:t xml:space="preserve">(pr. Civ.) </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Frères et sœurs issus de même père.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UTERINS.</w:t>
            </w:r>
          </w:p>
          <w:p w:rsidR="004924C8" w:rsidRPr="004924C8" w:rsidRDefault="004924C8" w:rsidP="004924C8">
            <w:pPr>
              <w:pStyle w:val="Paragraphedeliste"/>
              <w:tabs>
                <w:tab w:val="left" w:pos="567"/>
              </w:tabs>
              <w:bidi/>
              <w:ind w:left="0"/>
              <w:rPr>
                <w:rFonts w:ascii="Traditional Arabic" w:hAnsi="Traditional Arabic" w:cs="Traditional Arabic"/>
                <w:sz w:val="32"/>
                <w:szCs w:val="32"/>
                <w:rtl/>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إخوة لأم: </w:t>
            </w:r>
            <w:r w:rsidRPr="00311A3D">
              <w:rPr>
                <w:rFonts w:ascii="Traditional Arabic" w:hAnsi="Traditional Arabic" w:cs="Traditional Arabic"/>
                <w:sz w:val="32"/>
                <w:szCs w:val="32"/>
                <w:rtl/>
              </w:rPr>
              <w:t>(أحوال شخصية).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إخوة وأخوات من رحم واحد أو أم واحدة وأب مختلف.</w:t>
            </w:r>
          </w:p>
          <w:p w:rsidR="004924C8" w:rsidRDefault="004924C8" w:rsidP="0092587E">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إخوة لأب.</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UTERINS </w:t>
            </w:r>
            <w:r w:rsidRPr="00311A3D">
              <w:rPr>
                <w:rFonts w:ascii="Traditional Arabic" w:hAnsi="Traditional Arabic" w:cs="Traditional Arabic"/>
                <w:sz w:val="32"/>
                <w:szCs w:val="32"/>
              </w:rPr>
              <w:t>(st. Pers)</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Frères et sœurs nés de la même mère mais n’ayant pas le même père.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CONSANGUINS.</w:t>
            </w:r>
          </w:p>
          <w:p w:rsidR="004924C8" w:rsidRPr="00311A3D" w:rsidRDefault="004924C8" w:rsidP="004924C8">
            <w:pPr>
              <w:pStyle w:val="Paragraphedeliste"/>
              <w:tabs>
                <w:tab w:val="left" w:pos="567"/>
              </w:tabs>
              <w:bidi/>
              <w:ind w:left="0"/>
              <w:rPr>
                <w:rFonts w:ascii="Traditional Arabic" w:hAnsi="Traditional Arabic" w:cs="Traditional Arabic"/>
                <w:sz w:val="32"/>
                <w:szCs w:val="32"/>
                <w:rtl/>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إدخال في الدعوى: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تدخل.</w:t>
            </w:r>
          </w:p>
          <w:p w:rsidR="004924C8" w:rsidRDefault="004924C8" w:rsidP="000F559B">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المادة 81 من قانون الإجراءات المدنية.</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MISE EN CAUSE </w:t>
            </w:r>
            <w:r w:rsidRPr="00311A3D">
              <w:rPr>
                <w:rFonts w:ascii="Traditional Arabic" w:hAnsi="Traditional Arabic" w:cs="Traditional Arabic"/>
                <w:sz w:val="32"/>
                <w:szCs w:val="32"/>
              </w:rPr>
              <w:t>(pr.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INTERVENTION.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81 du c. pr. civ.</w:t>
            </w:r>
          </w:p>
          <w:p w:rsidR="004924C8" w:rsidRPr="004924C8" w:rsidRDefault="004924C8" w:rsidP="004924C8">
            <w:pPr>
              <w:pStyle w:val="Paragraphedeliste"/>
              <w:tabs>
                <w:tab w:val="left" w:pos="567"/>
              </w:tabs>
              <w:bidi/>
              <w:ind w:left="0"/>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إدعاء مدني:</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(الإجراءات الجنائية).</w:t>
            </w:r>
          </w:p>
          <w:p w:rsidR="004924C8" w:rsidRPr="000F559B" w:rsidRDefault="004924C8" w:rsidP="000F559B">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طرف مدني.</w:t>
            </w: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 xml:space="preserve">CONSTITUTION DE </w:t>
            </w:r>
            <w:r w:rsidRPr="00311A3D">
              <w:rPr>
                <w:rFonts w:ascii="Traditional Arabic" w:hAnsi="Traditional Arabic" w:cs="Traditional Arabic"/>
                <w:b/>
                <w:bCs/>
                <w:sz w:val="32"/>
                <w:szCs w:val="32"/>
              </w:rPr>
              <w:lastRenderedPageBreak/>
              <w:t>PARTIE CIVILE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(pr.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PARTIE CIVILE</w:t>
            </w:r>
          </w:p>
          <w:p w:rsidR="004924C8" w:rsidRDefault="004924C8" w:rsidP="003F12C2">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0F559B">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إرجاء الفصل في الدعوى:</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قرار يصدر عن جهة قضائية يتمثل في تأجيل النطق بالحكم في قضية إلى تاريخ لاحق.</w:t>
            </w: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SURSIS A STATUER</w:t>
            </w:r>
          </w:p>
          <w:p w:rsidR="004924C8" w:rsidRPr="001B4437"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Décision émanant d’une juridiction remettant le jugement d’une affaire à une date ultérieure.</w:t>
            </w:r>
          </w:p>
          <w:p w:rsidR="004924C8" w:rsidRP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أساس التهمة، وجه الإتهام: </w:t>
            </w:r>
            <w:r w:rsidRPr="00311A3D">
              <w:rPr>
                <w:rFonts w:ascii="Traditional Arabic" w:hAnsi="Traditional Arabic" w:cs="Traditional Arabic"/>
                <w:sz w:val="32"/>
                <w:szCs w:val="32"/>
                <w:rtl/>
              </w:rPr>
              <w:t>(الإجراءات الجنائية).</w:t>
            </w:r>
          </w:p>
          <w:p w:rsidR="004924C8" w:rsidRDefault="004924C8" w:rsidP="00A4734E">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هي النقطة الرئيسية التي يتعلق بها الإتهام.</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CHEF D’ACCUSATION </w:t>
            </w:r>
            <w:r w:rsidRPr="00311A3D">
              <w:rPr>
                <w:rFonts w:ascii="Traditional Arabic" w:hAnsi="Traditional Arabic" w:cs="Traditional Arabic"/>
                <w:sz w:val="32"/>
                <w:szCs w:val="32"/>
              </w:rPr>
              <w:t xml:space="preserve">(pr. pen.) </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Point capital sur lequel porte une accusation.</w:t>
            </w:r>
          </w:p>
          <w:p w:rsidR="004924C8" w:rsidRPr="004924C8" w:rsidRDefault="004924C8" w:rsidP="004924C8">
            <w:pPr>
              <w:pStyle w:val="Paragraphedeliste"/>
              <w:tabs>
                <w:tab w:val="left" w:pos="567"/>
              </w:tabs>
              <w:bidi/>
              <w:ind w:left="0"/>
              <w:rPr>
                <w:rFonts w:ascii="Traditional Arabic" w:hAnsi="Traditional Arabic" w:cs="Traditional Arabic"/>
                <w:sz w:val="32"/>
                <w:szCs w:val="32"/>
              </w:rPr>
            </w:pPr>
          </w:p>
          <w:p w:rsidR="004924C8" w:rsidRPr="00311A3D" w:rsidRDefault="004924C8" w:rsidP="000F559B">
            <w:pPr>
              <w:pStyle w:val="Paragraphedeliste"/>
              <w:tabs>
                <w:tab w:val="left" w:pos="567"/>
              </w:tabs>
              <w:bidi/>
              <w:ind w:left="0"/>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 xml:space="preserve">إستحالة الوفاء: </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(القانون المدني).</w:t>
            </w:r>
          </w:p>
          <w:p w:rsidR="004924C8" w:rsidRPr="00311A3D" w:rsidRDefault="00C72352" w:rsidP="0092587E">
            <w:pPr>
              <w:pStyle w:val="Paragraphedeliste"/>
              <w:tabs>
                <w:tab w:val="left" w:pos="567"/>
              </w:tabs>
              <w:bidi/>
              <w:ind w:left="0"/>
              <w:rPr>
                <w:rFonts w:ascii="Traditional Arabic" w:hAnsi="Traditional Arabic" w:cs="Traditional Arabic"/>
                <w:sz w:val="32"/>
                <w:szCs w:val="32"/>
                <w:rtl/>
              </w:rPr>
            </w:pPr>
            <w:r>
              <w:rPr>
                <w:rFonts w:ascii="Traditional Arabic" w:hAnsi="Traditional Arabic" w:cs="Traditional Arabic"/>
                <w:sz w:val="32"/>
                <w:szCs w:val="32"/>
                <w:rtl/>
              </w:rPr>
              <w:t>هو أن يثبت المدين أ</w:t>
            </w:r>
            <w:r>
              <w:rPr>
                <w:rFonts w:ascii="Traditional Arabic" w:hAnsi="Traditional Arabic" w:cs="Traditional Arabic" w:hint="cs"/>
                <w:sz w:val="32"/>
                <w:szCs w:val="32"/>
                <w:rtl/>
              </w:rPr>
              <w:t>ن</w:t>
            </w:r>
            <w:r w:rsidR="004924C8" w:rsidRPr="00311A3D">
              <w:rPr>
                <w:rFonts w:ascii="Traditional Arabic" w:hAnsi="Traditional Arabic" w:cs="Traditional Arabic"/>
                <w:sz w:val="32"/>
                <w:szCs w:val="32"/>
                <w:rtl/>
              </w:rPr>
              <w:t xml:space="preserve"> الوفاء بالالتزام أصبح مستحيلًا عليه وذلك لسبب معقول.</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307 من القانون المدني.</w:t>
            </w: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4924C8">
            <w:pPr>
              <w:rPr>
                <w:rFonts w:ascii="Traditional Arabic" w:hAnsi="Traditional Arabic" w:cs="Traditional Arabic"/>
                <w:sz w:val="32"/>
                <w:szCs w:val="32"/>
              </w:rPr>
            </w:pPr>
          </w:p>
          <w:p w:rsidR="004924C8" w:rsidRPr="00311A3D" w:rsidRDefault="004924C8" w:rsidP="004924C8">
            <w:pPr>
              <w:pStyle w:val="Paragraphedeliste"/>
              <w:tabs>
                <w:tab w:val="left" w:pos="567"/>
              </w:tabs>
              <w:ind w:left="0"/>
              <w:rPr>
                <w:rFonts w:ascii="Traditional Arabic" w:hAnsi="Traditional Arabic" w:cs="Traditional Arabic"/>
                <w:b/>
                <w:bCs/>
                <w:sz w:val="32"/>
                <w:szCs w:val="32"/>
              </w:rPr>
            </w:pPr>
            <w:r w:rsidRPr="00311A3D">
              <w:rPr>
                <w:rFonts w:ascii="Traditional Arabic" w:hAnsi="Traditional Arabic" w:cs="Traditional Arabic"/>
                <w:b/>
                <w:bCs/>
                <w:sz w:val="32"/>
                <w:szCs w:val="32"/>
              </w:rPr>
              <w:t>IMPOSSIBILITE D’EXECUTION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lastRenderedPageBreak/>
              <w:t>(dr.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Fait pour débiteur d’établir que l’exécution d’une obligation lui est devenue impossible et ce, pour une raison plausible.</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307 du c. civ.</w:t>
            </w: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b/>
                <w:bCs/>
                <w:sz w:val="32"/>
                <w:szCs w:val="32"/>
              </w:rPr>
              <w:t xml:space="preserve">OPPOSITION </w:t>
            </w:r>
            <w:r w:rsidRPr="00311A3D">
              <w:rPr>
                <w:rFonts w:ascii="Traditional Arabic" w:hAnsi="Traditional Arabic" w:cs="Traditional Arabic"/>
                <w:sz w:val="32"/>
                <w:szCs w:val="32"/>
              </w:rPr>
              <w:t>(pr. civ.) (pr.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Voie de recours ouverte au défaillant dans un procès, pour faire rétracter un jugement par défaut en remettant en question devant la même juridiction les points tranchés par le tribunal afin qu’il soit statué à nouveau en fait et en droit.</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98-101 du c. pr. civ.</w:t>
            </w:r>
          </w:p>
          <w:p w:rsidR="004924C8"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409-415 du c. pr. pen.</w:t>
            </w:r>
          </w:p>
          <w:p w:rsidR="004924C8" w:rsidRP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0F559B">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إستغلال، إنتفاع: </w:t>
            </w:r>
            <w:r w:rsidRPr="00311A3D">
              <w:rPr>
                <w:rFonts w:ascii="Traditional Arabic" w:hAnsi="Traditional Arabic" w:cs="Traditional Arabic"/>
                <w:sz w:val="32"/>
                <w:szCs w:val="32"/>
                <w:rtl/>
              </w:rPr>
              <w:t>(القانون المدني).</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 xml:space="preserve">هو قيام صاحب حق بالأعمال اللازمة للحصول على ثمار شيء (تحصيل مداخيل عقار، أجرة أو كراء...). </w:t>
            </w:r>
          </w:p>
          <w:p w:rsidR="004924C8" w:rsidRPr="00311A3D" w:rsidRDefault="004924C8" w:rsidP="0092587E">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467</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 xml:space="preserve"> 537 من القانون المدني.</w:t>
            </w:r>
          </w:p>
          <w:p w:rsidR="004924C8" w:rsidRDefault="004924C8" w:rsidP="0092587E">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ثمار.</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JOUISSANCE </w:t>
            </w:r>
            <w:r w:rsidRPr="00311A3D">
              <w:rPr>
                <w:rFonts w:ascii="Traditional Arabic" w:hAnsi="Traditional Arabic" w:cs="Traditional Arabic"/>
                <w:sz w:val="32"/>
                <w:szCs w:val="32"/>
              </w:rPr>
              <w:t>(dr.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Fait d’être titulaire d’un droit dont on perçoit les fruits (perception des revenus d’un immeuble, bail…)</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lastRenderedPageBreak/>
              <w:t>V. Art. 467 à 537 du c. civ.</w:t>
            </w: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sz w:val="32"/>
                <w:szCs w:val="32"/>
              </w:rPr>
              <w:t>V. FRUITS.</w:t>
            </w:r>
          </w:p>
          <w:p w:rsidR="004924C8" w:rsidRPr="00311A3D" w:rsidRDefault="004924C8" w:rsidP="004924C8">
            <w:pPr>
              <w:pStyle w:val="Paragraphedeliste"/>
              <w:tabs>
                <w:tab w:val="left" w:pos="567"/>
              </w:tabs>
              <w:bidi/>
              <w:ind w:left="0"/>
              <w:rPr>
                <w:rFonts w:ascii="Traditional Arabic" w:hAnsi="Traditional Arabic" w:cs="Traditional Arabic"/>
                <w:sz w:val="32"/>
                <w:szCs w:val="32"/>
                <w:rtl/>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إستيلاء: </w:t>
            </w:r>
            <w:r w:rsidRPr="00311A3D">
              <w:rPr>
                <w:rFonts w:ascii="Traditional Arabic" w:hAnsi="Traditional Arabic" w:cs="Traditional Arabic"/>
                <w:sz w:val="32"/>
                <w:szCs w:val="32"/>
                <w:rtl/>
              </w:rPr>
              <w:t>(القانون المدني).</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طريقة من طرق إكتساب الملكية تتمثل في الإستيلاء على مال شاغر ليس له مالك أو على أمو</w:t>
            </w:r>
            <w:r w:rsidR="00CF3165">
              <w:rPr>
                <w:rFonts w:ascii="Traditional Arabic" w:hAnsi="Traditional Arabic" w:cs="Traditional Arabic"/>
                <w:sz w:val="32"/>
                <w:szCs w:val="32"/>
                <w:rtl/>
              </w:rPr>
              <w:t xml:space="preserve">ال الأشخاص الذين يموتون دون أن </w:t>
            </w:r>
            <w:r w:rsidR="00CF3165">
              <w:rPr>
                <w:rFonts w:ascii="Traditional Arabic" w:hAnsi="Traditional Arabic" w:cs="Traditional Arabic" w:hint="cs"/>
                <w:sz w:val="32"/>
                <w:szCs w:val="32"/>
                <w:rtl/>
              </w:rPr>
              <w:t>ي</w:t>
            </w:r>
            <w:r w:rsidRPr="00311A3D">
              <w:rPr>
                <w:rFonts w:ascii="Traditional Arabic" w:hAnsi="Traditional Arabic" w:cs="Traditional Arabic"/>
                <w:sz w:val="32"/>
                <w:szCs w:val="32"/>
                <w:rtl/>
              </w:rPr>
              <w:t>كون لهم ورثة.</w:t>
            </w:r>
          </w:p>
          <w:p w:rsidR="004924C8" w:rsidRDefault="004924C8" w:rsidP="0092587E">
            <w:pPr>
              <w:bidi/>
              <w:rPr>
                <w:rFonts w:ascii="Traditional Arabic" w:hAnsi="Traditional Arabic" w:cs="Traditional Arabic"/>
                <w:sz w:val="32"/>
                <w:szCs w:val="32"/>
              </w:rPr>
            </w:pPr>
            <w:r w:rsidRPr="00311A3D">
              <w:rPr>
                <w:rFonts w:ascii="Traditional Arabic" w:hAnsi="Traditional Arabic" w:cs="Traditional Arabic"/>
                <w:sz w:val="32"/>
                <w:szCs w:val="32"/>
                <w:rtl/>
              </w:rPr>
              <w:t>راجع المادة 773 من القانون المدني.</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OCCUPATION</w:t>
            </w:r>
            <w:r w:rsidRPr="00311A3D">
              <w:rPr>
                <w:rFonts w:ascii="Traditional Arabic" w:hAnsi="Traditional Arabic" w:cs="Traditional Arabic"/>
                <w:sz w:val="32"/>
                <w:szCs w:val="32"/>
              </w:rPr>
              <w:t xml:space="preserve"> (dr.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Mode d’acquisition de la propriété par la prise de possession d’un bien vacant et sans maitre, ou des personnes qui décèdent sans héritier.</w:t>
            </w:r>
          </w:p>
          <w:p w:rsidR="004924C8" w:rsidRPr="00311A3D" w:rsidRDefault="004924C8" w:rsidP="004924C8">
            <w:pPr>
              <w:tabs>
                <w:tab w:val="left" w:pos="567"/>
              </w:tabs>
              <w:rPr>
                <w:rFonts w:ascii="Traditional Arabic" w:hAnsi="Traditional Arabic" w:cs="Traditional Arabic"/>
                <w:sz w:val="32"/>
                <w:szCs w:val="32"/>
              </w:rPr>
            </w:pPr>
            <w:r w:rsidRPr="00311A3D">
              <w:rPr>
                <w:rFonts w:ascii="Traditional Arabic" w:hAnsi="Traditional Arabic" w:cs="Traditional Arabic"/>
                <w:sz w:val="32"/>
                <w:szCs w:val="32"/>
              </w:rPr>
              <w:t>V. Art. 773 du c. civ.</w:t>
            </w:r>
          </w:p>
          <w:p w:rsidR="004924C8" w:rsidRPr="004924C8" w:rsidRDefault="004924C8" w:rsidP="004924C8">
            <w:pPr>
              <w:bidi/>
              <w:rPr>
                <w:rFonts w:ascii="Traditional Arabic" w:hAnsi="Traditional Arabic" w:cs="Traditional Arabic"/>
                <w:sz w:val="32"/>
                <w:szCs w:val="32"/>
              </w:rPr>
            </w:pPr>
          </w:p>
          <w:p w:rsidR="004924C8" w:rsidRPr="00311A3D" w:rsidRDefault="004924C8" w:rsidP="0092587E">
            <w:pPr>
              <w:tabs>
                <w:tab w:val="left" w:pos="567"/>
              </w:tabs>
              <w:bidi/>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استئناف: </w:t>
            </w:r>
            <w:r w:rsidRPr="00311A3D">
              <w:rPr>
                <w:rFonts w:ascii="Traditional Arabic" w:hAnsi="Traditional Arabic" w:cs="Traditional Arabic"/>
                <w:sz w:val="32"/>
                <w:szCs w:val="32"/>
                <w:rtl/>
              </w:rPr>
              <w:t>(الإجراءات المدنية).</w:t>
            </w:r>
          </w:p>
          <w:p w:rsidR="004924C8" w:rsidRPr="00311A3D" w:rsidRDefault="004924C8" w:rsidP="0092587E">
            <w:pPr>
              <w:tabs>
                <w:tab w:val="left" w:pos="567"/>
              </w:tabs>
              <w:bidi/>
              <w:rPr>
                <w:rFonts w:ascii="Traditional Arabic" w:hAnsi="Traditional Arabic" w:cs="Traditional Arabic"/>
                <w:sz w:val="32"/>
                <w:szCs w:val="32"/>
              </w:rPr>
            </w:pPr>
            <w:r w:rsidRPr="00311A3D">
              <w:rPr>
                <w:rFonts w:ascii="Traditional Arabic" w:hAnsi="Traditional Arabic" w:cs="Traditional Arabic"/>
                <w:sz w:val="32"/>
                <w:szCs w:val="32"/>
                <w:rtl/>
              </w:rPr>
              <w:t>طريق طعن عادي ضد أحكام محاكم الدرجة الأولى بهدف إلغائها من قبل المجلس أو تعديلها.</w:t>
            </w:r>
          </w:p>
          <w:p w:rsidR="004924C8" w:rsidRPr="00311A3D" w:rsidRDefault="004924C8" w:rsidP="0092587E">
            <w:pPr>
              <w:tabs>
                <w:tab w:val="left" w:pos="567"/>
              </w:tabs>
              <w:bidi/>
              <w:rPr>
                <w:rFonts w:ascii="Traditional Arabic" w:hAnsi="Traditional Arabic" w:cs="Traditional Arabic"/>
                <w:sz w:val="32"/>
                <w:szCs w:val="32"/>
                <w:rtl/>
              </w:rPr>
            </w:pPr>
            <w:r w:rsidRPr="00311A3D">
              <w:rPr>
                <w:rFonts w:ascii="Traditional Arabic" w:hAnsi="Traditional Arabic" w:cs="Traditional Arabic"/>
                <w:sz w:val="32"/>
                <w:szCs w:val="32"/>
                <w:rtl/>
              </w:rPr>
              <w:t>يمكن أن يكون الإستئناف أصليّاً أو فرعيّاً.</w:t>
            </w:r>
          </w:p>
          <w:p w:rsidR="004924C8" w:rsidRPr="00311A3D" w:rsidRDefault="004924C8" w:rsidP="0092587E">
            <w:pPr>
              <w:pStyle w:val="Paragraphedeliste"/>
              <w:numPr>
                <w:ilvl w:val="0"/>
                <w:numId w:val="2"/>
              </w:numPr>
              <w:tabs>
                <w:tab w:val="left" w:pos="141"/>
                <w:tab w:val="right" w:pos="425"/>
              </w:tabs>
              <w:bidi/>
              <w:ind w:left="0" w:firstLine="0"/>
              <w:rPr>
                <w:rFonts w:ascii="Traditional Arabic" w:hAnsi="Traditional Arabic" w:cs="Traditional Arabic"/>
                <w:sz w:val="32"/>
                <w:szCs w:val="32"/>
              </w:rPr>
            </w:pPr>
            <w:r w:rsidRPr="00311A3D">
              <w:rPr>
                <w:rFonts w:ascii="Traditional Arabic" w:hAnsi="Traditional Arabic" w:cs="Traditional Arabic"/>
                <w:sz w:val="32"/>
                <w:szCs w:val="32"/>
                <w:rtl/>
              </w:rPr>
              <w:t>الإستئناف الأصلي هو الذي يرفع من قبل الطرف الذي رافع الأول أمام المجلس القضائي الناظر في الإستئناف.</w:t>
            </w:r>
          </w:p>
          <w:p w:rsidR="004924C8" w:rsidRPr="00311A3D" w:rsidRDefault="004924C8" w:rsidP="0092587E">
            <w:pPr>
              <w:pStyle w:val="Paragraphedeliste"/>
              <w:numPr>
                <w:ilvl w:val="0"/>
                <w:numId w:val="2"/>
              </w:numPr>
              <w:tabs>
                <w:tab w:val="left" w:pos="141"/>
                <w:tab w:val="right" w:pos="425"/>
              </w:tabs>
              <w:bidi/>
              <w:ind w:left="0" w:firstLine="0"/>
              <w:rPr>
                <w:rFonts w:ascii="Traditional Arabic" w:hAnsi="Traditional Arabic" w:cs="Traditional Arabic"/>
                <w:sz w:val="32"/>
                <w:szCs w:val="32"/>
              </w:rPr>
            </w:pPr>
            <w:r w:rsidRPr="00311A3D">
              <w:rPr>
                <w:rFonts w:ascii="Traditional Arabic" w:hAnsi="Traditional Arabic" w:cs="Traditional Arabic"/>
                <w:sz w:val="32"/>
                <w:szCs w:val="32"/>
                <w:rtl/>
              </w:rPr>
              <w:t>الإستئناف الفرعي هو الذي يُرفع من قبل المستأنف عليه، على إثر الإستئناف الأصلي وذلك في أية حالة كانت عليها الدعوى.</w:t>
            </w:r>
          </w:p>
          <w:p w:rsidR="004924C8" w:rsidRPr="00C650F1" w:rsidRDefault="004924C8" w:rsidP="0092587E">
            <w:pPr>
              <w:pStyle w:val="Paragraphedeliste"/>
              <w:tabs>
                <w:tab w:val="left" w:pos="141"/>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من 102 إلى 109 من قانون الإجراءات المدنية.</w:t>
            </w:r>
          </w:p>
          <w:p w:rsidR="004924C8" w:rsidRPr="00311A3D" w:rsidRDefault="004924C8" w:rsidP="004924C8">
            <w:pPr>
              <w:tabs>
                <w:tab w:val="left" w:pos="567"/>
              </w:tabs>
              <w:rPr>
                <w:rFonts w:ascii="Traditional Arabic" w:hAnsi="Traditional Arabic" w:cs="Traditional Arabic"/>
                <w:sz w:val="32"/>
                <w:szCs w:val="32"/>
              </w:rPr>
            </w:pPr>
            <w:r w:rsidRPr="00311A3D">
              <w:rPr>
                <w:rFonts w:ascii="Traditional Arabic" w:hAnsi="Traditional Arabic" w:cs="Traditional Arabic"/>
                <w:b/>
                <w:bCs/>
                <w:sz w:val="32"/>
                <w:szCs w:val="32"/>
              </w:rPr>
              <w:lastRenderedPageBreak/>
              <w:t xml:space="preserve">APPEL </w:t>
            </w:r>
            <w:r w:rsidRPr="00311A3D">
              <w:rPr>
                <w:rFonts w:ascii="Traditional Arabic" w:hAnsi="Traditional Arabic" w:cs="Traditional Arabic"/>
                <w:sz w:val="32"/>
                <w:szCs w:val="32"/>
              </w:rPr>
              <w:t>(pr.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Voie de recours ordinaire contre les jugements des juridictions du premier degré tendant à les faire réformer ou annuler par la cour.</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L’appel peut être principal ou incident :</w:t>
            </w:r>
          </w:p>
          <w:p w:rsidR="004924C8" w:rsidRPr="00311A3D" w:rsidRDefault="004924C8" w:rsidP="004924C8">
            <w:pPr>
              <w:pStyle w:val="Paragraphedeliste"/>
              <w:numPr>
                <w:ilvl w:val="0"/>
                <w:numId w:val="2"/>
              </w:numPr>
              <w:tabs>
                <w:tab w:val="left" w:pos="142"/>
              </w:tabs>
              <w:ind w:left="0" w:firstLine="0"/>
              <w:rPr>
                <w:rFonts w:ascii="Traditional Arabic" w:hAnsi="Traditional Arabic" w:cs="Traditional Arabic"/>
                <w:sz w:val="32"/>
                <w:szCs w:val="32"/>
              </w:rPr>
            </w:pPr>
            <w:r w:rsidRPr="00311A3D">
              <w:rPr>
                <w:rFonts w:ascii="Traditional Arabic" w:hAnsi="Traditional Arabic" w:cs="Traditional Arabic"/>
                <w:sz w:val="32"/>
                <w:szCs w:val="32"/>
              </w:rPr>
              <w:t>L’appel principal : celui qui a été interjeté par la partie qui a saisi la première la cour statuant en appel.</w:t>
            </w:r>
          </w:p>
          <w:p w:rsidR="004924C8" w:rsidRPr="00311A3D" w:rsidRDefault="004924C8" w:rsidP="004924C8">
            <w:pPr>
              <w:pStyle w:val="Paragraphedeliste"/>
              <w:numPr>
                <w:ilvl w:val="0"/>
                <w:numId w:val="2"/>
              </w:numPr>
              <w:tabs>
                <w:tab w:val="left" w:pos="142"/>
              </w:tabs>
              <w:ind w:left="0" w:firstLine="0"/>
              <w:rPr>
                <w:rFonts w:ascii="Traditional Arabic" w:hAnsi="Traditional Arabic" w:cs="Traditional Arabic"/>
                <w:sz w:val="32"/>
                <w:szCs w:val="32"/>
              </w:rPr>
            </w:pPr>
            <w:r w:rsidRPr="00311A3D">
              <w:rPr>
                <w:rFonts w:ascii="Traditional Arabic" w:hAnsi="Traditional Arabic" w:cs="Traditional Arabic"/>
                <w:sz w:val="32"/>
                <w:szCs w:val="32"/>
              </w:rPr>
              <w:t>L’appel incident : celui qui</w:t>
            </w:r>
            <w:r w:rsidR="00CF3165">
              <w:rPr>
                <w:rFonts w:ascii="Traditional Arabic" w:hAnsi="Traditional Arabic" w:cs="Traditional Arabic"/>
                <w:sz w:val="32"/>
                <w:szCs w:val="32"/>
              </w:rPr>
              <w:t xml:space="preserve"> est</w:t>
            </w:r>
            <w:r w:rsidRPr="00311A3D">
              <w:rPr>
                <w:rFonts w:ascii="Traditional Arabic" w:hAnsi="Traditional Arabic" w:cs="Traditional Arabic"/>
                <w:sz w:val="32"/>
                <w:szCs w:val="32"/>
              </w:rPr>
              <w:t xml:space="preserve"> formé ensuite par un intimé sur l’appel principal en tout état de cause.</w:t>
            </w:r>
          </w:p>
          <w:p w:rsidR="004924C8" w:rsidRPr="00311A3D" w:rsidRDefault="004924C8" w:rsidP="004924C8">
            <w:pPr>
              <w:pStyle w:val="Paragraphedeliste"/>
              <w:tabs>
                <w:tab w:val="left" w:pos="142"/>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102 à 109 du c. pr. civ.</w:t>
            </w:r>
          </w:p>
          <w:p w:rsidR="004924C8" w:rsidRP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A4734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معارضة، إعتراض: </w:t>
            </w:r>
            <w:r w:rsidRPr="00311A3D">
              <w:rPr>
                <w:rFonts w:ascii="Traditional Arabic" w:hAnsi="Traditional Arabic" w:cs="Traditional Arabic"/>
                <w:sz w:val="32"/>
                <w:szCs w:val="32"/>
                <w:rtl/>
              </w:rPr>
              <w:t>(الإجراءات المدنية) (الإجراءات الجنائية)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طريق طعن يفتح أمام الطرف المتخلف عن الحضور أثناء سير الدعوى من أجل إلتماس إعادة النظر في حكم صدر غيابيًا من طرف نفس الجهة القضائية وذلك في النقاط التي فصلت فيها حتى تبتّ فيها من جديد من حيث الوقائع والقانون.</w:t>
            </w:r>
          </w:p>
          <w:p w:rsidR="00F61FA9" w:rsidRPr="00311A3D" w:rsidRDefault="004924C8" w:rsidP="00F61FA9">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98</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101 من قانون الإجراءات المدنية.</w:t>
            </w:r>
          </w:p>
          <w:p w:rsidR="004924C8" w:rsidRDefault="004924C8" w:rsidP="000F559B">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409</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415 من قانون الإجراءات الجنائية.</w:t>
            </w:r>
          </w:p>
          <w:p w:rsidR="00CF3165" w:rsidRPr="00311A3D" w:rsidRDefault="00CF3165" w:rsidP="00CF3165">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b/>
                <w:bCs/>
                <w:sz w:val="32"/>
                <w:szCs w:val="32"/>
              </w:rPr>
              <w:t xml:space="preserve">OPPOSITION </w:t>
            </w:r>
            <w:r w:rsidRPr="00311A3D">
              <w:rPr>
                <w:rFonts w:ascii="Traditional Arabic" w:hAnsi="Traditional Arabic" w:cs="Traditional Arabic"/>
                <w:sz w:val="32"/>
                <w:szCs w:val="32"/>
              </w:rPr>
              <w:t>(pr. civ.) (pr. pen.)</w:t>
            </w:r>
          </w:p>
          <w:p w:rsidR="00CF3165" w:rsidRPr="00311A3D" w:rsidRDefault="00CF3165" w:rsidP="00CF3165">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lastRenderedPageBreak/>
              <w:t>Voie de recours ouverte au défaillant dans un procès, pour faire rétracter un jugement par défaut en remettant en question devant la même juridiction les points tranchés par le tribunal afin qu’il soit statué à nouveau en fait et en droit.</w:t>
            </w:r>
          </w:p>
          <w:p w:rsidR="00CF3165" w:rsidRPr="00311A3D" w:rsidRDefault="00CF3165" w:rsidP="00CF3165">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98-101 du c. pr. civ.</w:t>
            </w:r>
          </w:p>
          <w:p w:rsidR="00CF3165" w:rsidRDefault="00CF3165" w:rsidP="00CF3165">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 Art. 409-415 du c. pr. pen.</w:t>
            </w:r>
          </w:p>
          <w:p w:rsidR="00CF3165" w:rsidRPr="000F559B" w:rsidRDefault="00CF3165" w:rsidP="00CF3165">
            <w:pPr>
              <w:pStyle w:val="Paragraphedeliste"/>
              <w:tabs>
                <w:tab w:val="left" w:pos="567"/>
              </w:tabs>
              <w:bidi/>
              <w:ind w:left="0"/>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إعتراض الغير الخارج عن الخصومة: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طريقة طعن غير عادية يباشرها جميع الأشخاص الخارجين عن الخصومة والذين لحق بهم ضرر أو هُدّدوا بضرر من جراء حكم قصّر في حقهم.</w:t>
            </w:r>
          </w:p>
          <w:p w:rsidR="004924C8" w:rsidRDefault="004924C8" w:rsidP="008D4B9C">
            <w:pPr>
              <w:bidi/>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191 إلى 193 من قانون الإجراءات المدنية.</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TIERCE OPPOSITION</w:t>
            </w:r>
            <w:r w:rsidRPr="00311A3D">
              <w:rPr>
                <w:rFonts w:ascii="Traditional Arabic" w:hAnsi="Traditional Arabic" w:cs="Traditional Arabic"/>
                <w:sz w:val="32"/>
                <w:szCs w:val="32"/>
              </w:rPr>
              <w:t xml:space="preserve"> (pr. civ.)</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Voie de recours extraordinaire ouverte à tous les tiers qui ont été lésés ou seulement menacés d’un préjudice par l’effet d’un jugement qui leur fait grief.</w:t>
            </w: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r w:rsidRPr="00311A3D">
              <w:rPr>
                <w:rFonts w:ascii="Traditional Arabic" w:hAnsi="Traditional Arabic" w:cs="Traditional Arabic"/>
                <w:sz w:val="32"/>
                <w:szCs w:val="32"/>
              </w:rPr>
              <w:t>V. Art. 191-193 du c. pr. civ.</w:t>
            </w:r>
          </w:p>
          <w:p w:rsidR="004924C8" w:rsidRPr="008D4B9C" w:rsidRDefault="004924C8" w:rsidP="004924C8">
            <w:pPr>
              <w:bidi/>
              <w:rPr>
                <w:rFonts w:ascii="Traditional Arabic" w:hAnsi="Traditional Arabic" w:cs="Traditional Arabic"/>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إفادة المتهم من الشك: </w:t>
            </w:r>
            <w:r w:rsidRPr="00311A3D">
              <w:rPr>
                <w:rFonts w:ascii="Traditional Arabic" w:hAnsi="Traditional Arabic" w:cs="Traditional Arabic"/>
                <w:sz w:val="32"/>
                <w:szCs w:val="32"/>
                <w:rtl/>
              </w:rPr>
              <w:t>(الإجراءات الجنائية).</w:t>
            </w:r>
          </w:p>
          <w:p w:rsidR="004924C8" w:rsidRDefault="004924C8" w:rsidP="0092587E">
            <w:pPr>
              <w:pStyle w:val="Paragraphedeliste"/>
              <w:tabs>
                <w:tab w:val="left" w:pos="567"/>
              </w:tabs>
              <w:bidi/>
              <w:ind w:left="0"/>
              <w:rPr>
                <w:rFonts w:ascii="Traditional Arabic" w:hAnsi="Traditional Arabic" w:cs="Traditional Arabic"/>
                <w:sz w:val="32"/>
                <w:szCs w:val="32"/>
              </w:rPr>
            </w:pPr>
            <w:r w:rsidRPr="00311A3D">
              <w:rPr>
                <w:rFonts w:ascii="Traditional Arabic" w:hAnsi="Traditional Arabic" w:cs="Traditional Arabic"/>
                <w:sz w:val="32"/>
                <w:szCs w:val="32"/>
                <w:rtl/>
              </w:rPr>
              <w:t xml:space="preserve">مبدأ عام في الإجراءات الجزائية يوجب على </w:t>
            </w:r>
            <w:r w:rsidR="002F0F95">
              <w:rPr>
                <w:rFonts w:ascii="Traditional Arabic" w:hAnsi="Traditional Arabic" w:cs="Traditional Arabic" w:hint="cs"/>
                <w:sz w:val="32"/>
                <w:szCs w:val="32"/>
                <w:rtl/>
              </w:rPr>
              <w:t>ال</w:t>
            </w:r>
            <w:r w:rsidRPr="00311A3D">
              <w:rPr>
                <w:rFonts w:ascii="Traditional Arabic" w:hAnsi="Traditional Arabic" w:cs="Traditional Arabic"/>
                <w:sz w:val="32"/>
                <w:szCs w:val="32"/>
                <w:rtl/>
              </w:rPr>
              <w:t xml:space="preserve">هيئة </w:t>
            </w:r>
            <w:r w:rsidR="002F0F95">
              <w:rPr>
                <w:rFonts w:ascii="Traditional Arabic" w:hAnsi="Traditional Arabic" w:cs="Traditional Arabic" w:hint="cs"/>
                <w:sz w:val="32"/>
                <w:szCs w:val="32"/>
                <w:rtl/>
              </w:rPr>
              <w:lastRenderedPageBreak/>
              <w:t>ال</w:t>
            </w:r>
            <w:r w:rsidRPr="00311A3D">
              <w:rPr>
                <w:rFonts w:ascii="Traditional Arabic" w:hAnsi="Traditional Arabic" w:cs="Traditional Arabic"/>
                <w:sz w:val="32"/>
                <w:szCs w:val="32"/>
                <w:rtl/>
              </w:rPr>
              <w:t>قضائية الإفراج عن متهم إذا كان حدوث الجريمة أو وجودها مشكوك</w:t>
            </w:r>
            <w:r w:rsidR="002F0F95">
              <w:rPr>
                <w:rFonts w:ascii="Traditional Arabic" w:hAnsi="Traditional Arabic" w:cs="Traditional Arabic" w:hint="cs"/>
                <w:sz w:val="32"/>
                <w:szCs w:val="32"/>
                <w:rtl/>
              </w:rPr>
              <w:t>ا</w:t>
            </w:r>
            <w:r w:rsidRPr="00311A3D">
              <w:rPr>
                <w:rFonts w:ascii="Traditional Arabic" w:hAnsi="Traditional Arabic" w:cs="Traditional Arabic"/>
                <w:sz w:val="32"/>
                <w:szCs w:val="32"/>
                <w:rtl/>
              </w:rPr>
              <w:t xml:space="preserve"> فيه.</w:t>
            </w:r>
          </w:p>
          <w:p w:rsidR="004924C8" w:rsidRDefault="004924C8" w:rsidP="004924C8">
            <w:pPr>
              <w:rPr>
                <w:rFonts w:ascii="Traditional Arabic" w:hAnsi="Traditional Arabic" w:cs="Traditional Arabic"/>
                <w:sz w:val="32"/>
                <w:szCs w:val="32"/>
              </w:rPr>
            </w:pPr>
          </w:p>
          <w:p w:rsidR="004924C8" w:rsidRPr="00311A3D" w:rsidRDefault="004924C8" w:rsidP="004924C8">
            <w:pPr>
              <w:pStyle w:val="Paragraphedeliste"/>
              <w:tabs>
                <w:tab w:val="left" w:pos="567"/>
              </w:tabs>
              <w:ind w:left="0"/>
              <w:rPr>
                <w:rFonts w:ascii="Traditional Arabic" w:hAnsi="Traditional Arabic" w:cs="Traditional Arabic"/>
                <w:sz w:val="32"/>
                <w:szCs w:val="32"/>
                <w:rtl/>
              </w:rPr>
            </w:pP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BENEFICE DU DOUTE</w:t>
            </w:r>
            <w:r w:rsidRPr="00311A3D">
              <w:rPr>
                <w:rFonts w:ascii="Traditional Arabic" w:hAnsi="Traditional Arabic" w:cs="Traditional Arabic"/>
                <w:sz w:val="32"/>
                <w:szCs w:val="32"/>
              </w:rPr>
              <w:t xml:space="preserve"> (pr. pen.)</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sz w:val="32"/>
                <w:szCs w:val="32"/>
              </w:rPr>
              <w:t>Principe général de procédure pénale qui oblige une juridiction à relaxer un prévenu dès lors qu’un doute subsiste sur l’existence même de l’infraction.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p>
          <w:p w:rsidR="004924C8" w:rsidRPr="00311A3D" w:rsidRDefault="004924C8" w:rsidP="004924C8">
            <w:pPr>
              <w:pStyle w:val="Paragraphedeliste"/>
              <w:tabs>
                <w:tab w:val="left" w:pos="567"/>
              </w:tabs>
              <w:bidi/>
              <w:ind w:left="0"/>
              <w:rPr>
                <w:rFonts w:ascii="Traditional Arabic" w:hAnsi="Traditional Arabic" w:cs="Traditional Arabic"/>
                <w:sz w:val="32"/>
                <w:szCs w:val="32"/>
                <w:rtl/>
              </w:rPr>
            </w:pPr>
          </w:p>
          <w:p w:rsidR="004924C8" w:rsidRDefault="004924C8" w:rsidP="0092587E">
            <w:pPr>
              <w:pStyle w:val="Paragraphedeliste"/>
              <w:tabs>
                <w:tab w:val="left" w:pos="567"/>
              </w:tabs>
              <w:bidi/>
              <w:ind w:left="0"/>
              <w:rPr>
                <w:rFonts w:ascii="Traditional Arabic" w:hAnsi="Traditional Arabic" w:cs="Traditional Arabic"/>
                <w:b/>
                <w:bCs/>
                <w:sz w:val="32"/>
                <w:szCs w:val="32"/>
              </w:rPr>
            </w:pP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b/>
                <w:bCs/>
                <w:sz w:val="32"/>
                <w:szCs w:val="32"/>
                <w:rtl/>
              </w:rPr>
              <w:t>إفراج مؤقت</w:t>
            </w:r>
            <w:r w:rsidRPr="00311A3D">
              <w:rPr>
                <w:rFonts w:ascii="Traditional Arabic" w:hAnsi="Traditional Arabic" w:cs="Traditional Arabic"/>
                <w:sz w:val="32"/>
                <w:szCs w:val="32"/>
                <w:rtl/>
              </w:rPr>
              <w:t xml:space="preserve"> (الإجراءات الجنائية).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إفراج يمنحه قاضي التحقيق لمتهم بعد إستطلاع رأي وكيل الجمهورية بشرط تعهد المتهم بالحضور في جميع الإجراءات بمجرد إستدعائه، وإعلام قاضي التحقيق بجميع تنقلاته.</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كما يمكن لوكيل الجمهورية في أي وقت إلتماس الإفراج المؤقت.</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126</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137 من قانون الإجراءات الجنائية.</w:t>
            </w:r>
          </w:p>
          <w:p w:rsidR="004924C8" w:rsidRPr="00311A3D" w:rsidRDefault="004924C8" w:rsidP="0092587E">
            <w:pPr>
              <w:pStyle w:val="Paragraphedeliste"/>
              <w:tabs>
                <w:tab w:val="left" w:pos="567"/>
              </w:tabs>
              <w:bidi/>
              <w:ind w:left="0"/>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القانون 90</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24 المؤرخ في 18/8/1990.</w:t>
            </w:r>
          </w:p>
          <w:p w:rsidR="004924C8" w:rsidRPr="00311A3D" w:rsidRDefault="004924C8" w:rsidP="004924C8">
            <w:pPr>
              <w:pStyle w:val="Paragraphedeliste"/>
              <w:tabs>
                <w:tab w:val="left" w:pos="567"/>
              </w:tabs>
              <w:ind w:left="0"/>
              <w:rPr>
                <w:rFonts w:ascii="Traditional Arabic" w:hAnsi="Traditional Arabic" w:cs="Traditional Arabic"/>
                <w:sz w:val="32"/>
                <w:szCs w:val="32"/>
              </w:rPr>
            </w:pPr>
            <w:r w:rsidRPr="00311A3D">
              <w:rPr>
                <w:rFonts w:ascii="Traditional Arabic" w:hAnsi="Traditional Arabic" w:cs="Traditional Arabic"/>
                <w:b/>
                <w:bCs/>
                <w:sz w:val="32"/>
                <w:szCs w:val="32"/>
              </w:rPr>
              <w:t>LIBERTE PROVISOIRE</w:t>
            </w:r>
            <w:r w:rsidRPr="00311A3D">
              <w:rPr>
                <w:rFonts w:ascii="Traditional Arabic" w:hAnsi="Traditional Arabic" w:cs="Traditional Arabic"/>
                <w:sz w:val="32"/>
                <w:szCs w:val="32"/>
              </w:rPr>
              <w:t xml:space="preserve"> (pr.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 xml:space="preserve">Mise en liberté accordée à un prévenu par le juge d’instruction après avis du procureur de la république à charge pour le </w:t>
            </w:r>
            <w:r w:rsidRPr="00311A3D">
              <w:rPr>
                <w:rFonts w:ascii="Traditional Arabic" w:hAnsi="Traditional Arabic" w:cs="Traditional Arabic"/>
                <w:sz w:val="32"/>
                <w:szCs w:val="32"/>
              </w:rPr>
              <w:lastRenderedPageBreak/>
              <w:t>prévenu de se représenter à tous les actes de la procédure dès qu’il en est requis et d’informer le</w:t>
            </w:r>
            <w:r w:rsidR="0064732F">
              <w:rPr>
                <w:rFonts w:ascii="Traditional Arabic" w:hAnsi="Traditional Arabic" w:cs="Traditional Arabic"/>
                <w:sz w:val="32"/>
                <w:szCs w:val="32"/>
              </w:rPr>
              <w:t xml:space="preserve"> magistrat instructeur de tous s</w:t>
            </w:r>
            <w:r w:rsidRPr="00311A3D">
              <w:rPr>
                <w:rFonts w:ascii="Traditional Arabic" w:hAnsi="Traditional Arabic" w:cs="Traditional Arabic"/>
                <w:sz w:val="32"/>
                <w:szCs w:val="32"/>
              </w:rPr>
              <w:t>es déplacements, aussi, le procur</w:t>
            </w:r>
            <w:r w:rsidR="0064732F">
              <w:rPr>
                <w:rFonts w:ascii="Traditional Arabic" w:hAnsi="Traditional Arabic" w:cs="Traditional Arabic"/>
                <w:sz w:val="32"/>
                <w:szCs w:val="32"/>
              </w:rPr>
              <w:t>eur de la République peut</w:t>
            </w:r>
            <w:r w:rsidRPr="00311A3D">
              <w:rPr>
                <w:rFonts w:ascii="Traditional Arabic" w:hAnsi="Traditional Arabic" w:cs="Traditional Arabic"/>
                <w:sz w:val="32"/>
                <w:szCs w:val="32"/>
              </w:rPr>
              <w:t xml:space="preserve"> à tout moment de la procédure requérir la liberté provisoire.</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126 à 137 du c. pr. pen.</w:t>
            </w:r>
          </w:p>
          <w:p w:rsidR="004924C8" w:rsidRDefault="004924C8" w:rsidP="004924C8">
            <w:pPr>
              <w:pStyle w:val="Paragraphedeliste"/>
              <w:tabs>
                <w:tab w:val="left" w:pos="142"/>
              </w:tabs>
              <w:bidi/>
              <w:ind w:left="0"/>
              <w:jc w:val="both"/>
              <w:rPr>
                <w:rFonts w:ascii="Traditional Arabic" w:hAnsi="Traditional Arabic" w:cs="Traditional Arabic"/>
                <w:b/>
                <w:bCs/>
                <w:sz w:val="32"/>
                <w:szCs w:val="32"/>
              </w:rPr>
            </w:pPr>
            <w:r w:rsidRPr="00311A3D">
              <w:rPr>
                <w:rFonts w:ascii="Traditional Arabic" w:hAnsi="Traditional Arabic" w:cs="Traditional Arabic"/>
                <w:sz w:val="32"/>
                <w:szCs w:val="32"/>
              </w:rPr>
              <w:t>V. L. 90-24 du 18.08.90.</w:t>
            </w: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0F559B">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إلتماس إعادة النظر: </w:t>
            </w:r>
            <w:r w:rsidRPr="00311A3D">
              <w:rPr>
                <w:rFonts w:ascii="Traditional Arabic" w:hAnsi="Traditional Arabic" w:cs="Traditional Arabic"/>
                <w:sz w:val="32"/>
                <w:szCs w:val="32"/>
                <w:rtl/>
              </w:rPr>
              <w:t>(الإجراءات الجنائية).</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531 من قانون الإجراءات الجنائية.</w:t>
            </w:r>
          </w:p>
          <w:p w:rsidR="004924C8" w:rsidRPr="00311A3D" w:rsidRDefault="004924C8" w:rsidP="004924C8">
            <w:pPr>
              <w:rPr>
                <w:rFonts w:ascii="Traditional Arabic" w:hAnsi="Traditional Arabic" w:cs="Traditional Arabic"/>
                <w:sz w:val="32"/>
                <w:szCs w:val="32"/>
              </w:rPr>
            </w:pPr>
            <w:r>
              <w:rPr>
                <w:rFonts w:ascii="Traditional Arabic" w:hAnsi="Traditional Arabic" w:cs="Traditional Arabic"/>
                <w:sz w:val="32"/>
                <w:szCs w:val="32"/>
              </w:rPr>
              <w:t xml:space="preserve">  </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DEMANDE EN REVISION </w:t>
            </w:r>
            <w:r w:rsidRPr="00311A3D">
              <w:rPr>
                <w:rFonts w:ascii="Traditional Arabic" w:hAnsi="Traditional Arabic" w:cs="Traditional Arabic"/>
                <w:sz w:val="32"/>
                <w:szCs w:val="32"/>
              </w:rPr>
              <w:t>(pr.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531 du c. pr.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إلتماس إعادة النظر: </w:t>
            </w:r>
            <w:r w:rsidRPr="00311A3D">
              <w:rPr>
                <w:rFonts w:ascii="Traditional Arabic" w:hAnsi="Traditional Arabic" w:cs="Traditional Arabic"/>
                <w:sz w:val="32"/>
                <w:szCs w:val="32"/>
                <w:rtl/>
              </w:rPr>
              <w:t>(الإجراءات المدنية).</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طريق طعن غير عادي يباشر ضد حكم أو قرار غير قابل للطعن فيه بالمعارضة أو الإستئناف وذلك في حالة خرق الأشكال الجوهرية السهو عن الفصل في إحدى الطلبات، وقوع غش، احتجاز الخصم لوثائق قاطعة في الدعوى ... إلخ.</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194</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200 من قانون الإجراءات المدنية.</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RETRACTATION</w:t>
            </w:r>
            <w:r w:rsidRPr="00311A3D">
              <w:rPr>
                <w:rFonts w:ascii="Traditional Arabic" w:hAnsi="Traditional Arabic" w:cs="Traditional Arabic"/>
                <w:sz w:val="32"/>
                <w:szCs w:val="32"/>
              </w:rPr>
              <w:t xml:space="preserve"> (pr. civ.)</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 xml:space="preserve">Voie de recours extraordinaire exercée sur un jugement ou un </w:t>
            </w:r>
            <w:r w:rsidRPr="00311A3D">
              <w:rPr>
                <w:rFonts w:ascii="Traditional Arabic" w:hAnsi="Traditional Arabic" w:cs="Traditional Arabic"/>
                <w:sz w:val="32"/>
                <w:szCs w:val="32"/>
              </w:rPr>
              <w:lastRenderedPageBreak/>
              <w:t>arrêt qui ne sont pas susceptibles d’opposition ou d’appel et ce, en cas de violation des formes substantielles de procéder, omission de statuer sur un chef de demande, dol, non communication de pièces lors de l’instance …</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194 à 200 du c. pr. civ.</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إنتحال الأسماء: </w:t>
            </w: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247</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253 من قانون العقوبات.</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USURPATION DE NOMS </w:t>
            </w:r>
            <w:r w:rsidRPr="00311A3D">
              <w:rPr>
                <w:rFonts w:ascii="Traditional Arabic" w:hAnsi="Traditional Arabic" w:cs="Traditional Arabic"/>
                <w:sz w:val="32"/>
                <w:szCs w:val="32"/>
              </w:rPr>
              <w:t>(dr.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247-253 du c. pen.</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إنتحال الألقاب: </w:t>
            </w: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المواد 243</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246 من قانون العقوبات.</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USURPATION DE</w:t>
            </w:r>
            <w:r w:rsidR="00DA05B0">
              <w:rPr>
                <w:rFonts w:ascii="Traditional Arabic" w:hAnsi="Traditional Arabic" w:cs="Traditional Arabic"/>
                <w:b/>
                <w:bCs/>
                <w:sz w:val="32"/>
                <w:szCs w:val="32"/>
              </w:rPr>
              <w:t xml:space="preserve"> </w:t>
            </w:r>
            <w:r w:rsidRPr="00311A3D">
              <w:rPr>
                <w:rFonts w:ascii="Traditional Arabic" w:hAnsi="Traditional Arabic" w:cs="Traditional Arabic"/>
                <w:b/>
                <w:bCs/>
                <w:sz w:val="32"/>
                <w:szCs w:val="32"/>
              </w:rPr>
              <w:t xml:space="preserve">TITRES </w:t>
            </w:r>
            <w:r w:rsidRPr="00311A3D">
              <w:rPr>
                <w:rFonts w:ascii="Traditional Arabic" w:hAnsi="Traditional Arabic" w:cs="Traditional Arabic"/>
                <w:sz w:val="32"/>
                <w:szCs w:val="32"/>
              </w:rPr>
              <w:t>(dr. pen.)</w:t>
            </w:r>
          </w:p>
          <w:p w:rsidR="004924C8"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243-246 du c. pen.</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8D4B9C">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إنتحال الوظائف: </w:t>
            </w:r>
            <w:r w:rsidRPr="00311A3D">
              <w:rPr>
                <w:rFonts w:ascii="Traditional Arabic" w:hAnsi="Traditional Arabic" w:cs="Traditional Arabic"/>
                <w:sz w:val="32"/>
                <w:szCs w:val="32"/>
                <w:rtl/>
              </w:rPr>
              <w:t>(القانون الجنائي).</w:t>
            </w:r>
          </w:p>
          <w:p w:rsidR="004924C8" w:rsidRDefault="004924C8" w:rsidP="0092587E">
            <w:pPr>
              <w:pStyle w:val="Paragraphedeliste"/>
              <w:tabs>
                <w:tab w:val="left" w:pos="142"/>
              </w:tabs>
              <w:bidi/>
              <w:ind w:left="0"/>
              <w:jc w:val="both"/>
              <w:rPr>
                <w:rFonts w:ascii="Traditional Arabic" w:hAnsi="Traditional Arabic" w:cs="Traditional Arabic"/>
                <w:sz w:val="32"/>
                <w:szCs w:val="32"/>
              </w:rPr>
            </w:pPr>
            <w:r w:rsidRPr="00311A3D">
              <w:rPr>
                <w:rFonts w:ascii="Traditional Arabic" w:hAnsi="Traditional Arabic" w:cs="Traditional Arabic"/>
                <w:sz w:val="32"/>
                <w:szCs w:val="32"/>
                <w:rtl/>
              </w:rPr>
              <w:t>راجع المواد 242</w:t>
            </w:r>
            <w:r w:rsidRPr="00311A3D">
              <w:rPr>
                <w:rFonts w:ascii="Traditional Arabic" w:hAnsi="Traditional Arabic" w:cs="Traditional Arabic"/>
                <w:sz w:val="32"/>
                <w:szCs w:val="32"/>
              </w:rPr>
              <w:t>-</w:t>
            </w:r>
            <w:r w:rsidRPr="00311A3D">
              <w:rPr>
                <w:rFonts w:ascii="Traditional Arabic" w:hAnsi="Traditional Arabic" w:cs="Traditional Arabic"/>
                <w:sz w:val="32"/>
                <w:szCs w:val="32"/>
                <w:rtl/>
              </w:rPr>
              <w:t>243 من قانون العقوبات.</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USURPATION</w:t>
            </w:r>
            <w:r w:rsidR="00DA05B0">
              <w:rPr>
                <w:rFonts w:ascii="Traditional Arabic" w:hAnsi="Traditional Arabic" w:cs="Traditional Arabic"/>
                <w:b/>
                <w:bCs/>
                <w:sz w:val="32"/>
                <w:szCs w:val="32"/>
              </w:rPr>
              <w:t xml:space="preserve"> </w:t>
            </w:r>
            <w:r w:rsidRPr="00311A3D">
              <w:rPr>
                <w:rFonts w:ascii="Traditional Arabic" w:hAnsi="Traditional Arabic" w:cs="Traditional Arabic"/>
                <w:b/>
                <w:bCs/>
                <w:sz w:val="32"/>
                <w:szCs w:val="32"/>
              </w:rPr>
              <w:t>DE</w:t>
            </w:r>
            <w:r w:rsidR="00DA05B0">
              <w:rPr>
                <w:rFonts w:ascii="Traditional Arabic" w:hAnsi="Traditional Arabic" w:cs="Traditional Arabic"/>
                <w:b/>
                <w:bCs/>
                <w:sz w:val="32"/>
                <w:szCs w:val="32"/>
              </w:rPr>
              <w:t xml:space="preserve"> </w:t>
            </w:r>
            <w:r w:rsidRPr="00311A3D">
              <w:rPr>
                <w:rFonts w:ascii="Traditional Arabic" w:hAnsi="Traditional Arabic" w:cs="Traditional Arabic"/>
                <w:b/>
                <w:bCs/>
                <w:sz w:val="32"/>
                <w:szCs w:val="32"/>
              </w:rPr>
              <w:t xml:space="preserve">FONCTIONS </w:t>
            </w:r>
            <w:r w:rsidRPr="00311A3D">
              <w:rPr>
                <w:rFonts w:ascii="Traditional Arabic" w:hAnsi="Traditional Arabic" w:cs="Traditional Arabic"/>
                <w:sz w:val="32"/>
                <w:szCs w:val="32"/>
              </w:rPr>
              <w:t>(dr.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lastRenderedPageBreak/>
              <w:t>V. Art. 242-243 du c. pen.</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إهمال: </w:t>
            </w:r>
            <w:r w:rsidRPr="00311A3D">
              <w:rPr>
                <w:rFonts w:ascii="Traditional Arabic" w:hAnsi="Traditional Arabic" w:cs="Traditional Arabic"/>
                <w:sz w:val="32"/>
                <w:szCs w:val="32"/>
                <w:rtl/>
              </w:rPr>
              <w:t>(القانون المدني)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التخلي الإداري عن حق أو التزام.</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مثال: التخلي عن الوظيفة، الإهمال العائلي ...</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Pr>
                <w:rFonts w:ascii="Traditional Arabic" w:hAnsi="Traditional Arabic" w:cs="Traditional Arabic"/>
                <w:b/>
                <w:bCs/>
                <w:sz w:val="32"/>
                <w:szCs w:val="32"/>
              </w:rPr>
              <w:t>A</w:t>
            </w:r>
            <w:r w:rsidRPr="00311A3D">
              <w:rPr>
                <w:rFonts w:ascii="Traditional Arabic" w:hAnsi="Traditional Arabic" w:cs="Traditional Arabic"/>
                <w:b/>
                <w:bCs/>
                <w:sz w:val="32"/>
                <w:szCs w:val="32"/>
              </w:rPr>
              <w:t>BANDON</w:t>
            </w:r>
            <w:r w:rsidRPr="00311A3D">
              <w:rPr>
                <w:rFonts w:ascii="Traditional Arabic" w:hAnsi="Traditional Arabic" w:cs="Traditional Arabic"/>
                <w:sz w:val="32"/>
                <w:szCs w:val="32"/>
              </w:rPr>
              <w:t xml:space="preserve"> (dr. civ.)</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Fait de renoncer volontairement à un droit ou à une obligation.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Exemple : Abandon de poste, Abandon de famille …</w:t>
            </w:r>
          </w:p>
          <w:p w:rsidR="004924C8"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53/ 1 du c. fam.</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إهمال عائلي: </w:t>
            </w:r>
            <w:r w:rsidRPr="00311A3D">
              <w:rPr>
                <w:rFonts w:ascii="Traditional Arabic" w:hAnsi="Traditional Arabic" w:cs="Traditional Arabic"/>
                <w:sz w:val="32"/>
                <w:szCs w:val="32"/>
                <w:rtl/>
              </w:rPr>
              <w:t>(القانون الجبائي).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(الأحوال الشخصية)</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جنحة تتمثل في ترك أحد الوالدين دون سبب جدي للبيت الزوجي لمدة تتجاوز شهرين والتخلي عن كل أو بعض التزاماته الأدبية أو المادية المترتبة عن سلطته الأبوية.</w:t>
            </w:r>
          </w:p>
          <w:p w:rsidR="004924C8" w:rsidRPr="00311A3D" w:rsidRDefault="004924C8" w:rsidP="0092587E">
            <w:pPr>
              <w:pStyle w:val="Paragraphedeliste"/>
              <w:numPr>
                <w:ilvl w:val="0"/>
                <w:numId w:val="2"/>
              </w:numPr>
              <w:tabs>
                <w:tab w:val="left" w:pos="142"/>
                <w:tab w:val="right" w:pos="425"/>
                <w:tab w:val="right" w:pos="567"/>
              </w:tabs>
              <w:bidi/>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tl/>
              </w:rPr>
              <w:t>هو أيضاً امتناع عن دفع النفقة أو الإعانات التي صدر بموجبها حكم قضائي. إلا إذا كانت الزوجة على علم بإعسار زوجها عند الزواج.</w:t>
            </w:r>
          </w:p>
          <w:p w:rsidR="004924C8" w:rsidRPr="00311A3D" w:rsidRDefault="004924C8" w:rsidP="0092587E">
            <w:pPr>
              <w:pStyle w:val="Paragraphedeliste"/>
              <w:numPr>
                <w:ilvl w:val="0"/>
                <w:numId w:val="2"/>
              </w:numPr>
              <w:tabs>
                <w:tab w:val="left" w:pos="142"/>
                <w:tab w:val="right" w:pos="425"/>
                <w:tab w:val="right" w:pos="567"/>
              </w:tabs>
              <w:bidi/>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tl/>
              </w:rPr>
              <w:t>كما أن تخلي الزوج عن زوجته الحامل لأكثر من شهرين دون عذر مقبول يشكل جنحة خطيرة يعاقب عليها القانون.</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330 إلى 332 من قانون العقوبات.</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53/ فقرة 1 من قانون الأسرة.</w:t>
            </w: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lastRenderedPageBreak/>
              <w:t xml:space="preserve">ABANDON DE FAMILLE </w:t>
            </w:r>
            <w:r w:rsidRPr="00311A3D">
              <w:rPr>
                <w:rFonts w:ascii="Traditional Arabic" w:hAnsi="Traditional Arabic" w:cs="Traditional Arabic"/>
                <w:sz w:val="32"/>
                <w:szCs w:val="32"/>
              </w:rPr>
              <w:t>(dr. pen.) (St. Pers.)</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Délit consistant en l’abandon de l’un des parents, sans motif grave, du domicile conjugal pendant plus de deux mois et de se soustraire à tout ou partie de ses obligations d’ordre moral ou matériel résultant de l’autorité parentale.</w:t>
            </w:r>
          </w:p>
          <w:p w:rsidR="004924C8" w:rsidRPr="00311A3D" w:rsidRDefault="004924C8" w:rsidP="004924C8">
            <w:pPr>
              <w:pStyle w:val="Paragraphedeliste"/>
              <w:numPr>
                <w:ilvl w:val="0"/>
                <w:numId w:val="2"/>
              </w:numPr>
              <w:tabs>
                <w:tab w:val="left" w:pos="142"/>
              </w:tabs>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Pr>
              <w:t>Aussi, fait pour l’époux de rester sans payer la pension ou les subsides auxquels il a été condamné par décisions de justice, a moins que l’épouse eut connu l’indigence de son époux au moment du mariage.</w:t>
            </w:r>
          </w:p>
          <w:p w:rsidR="004924C8" w:rsidRPr="00311A3D" w:rsidRDefault="004924C8" w:rsidP="004924C8">
            <w:pPr>
              <w:pStyle w:val="Paragraphedeliste"/>
              <w:numPr>
                <w:ilvl w:val="0"/>
                <w:numId w:val="2"/>
              </w:numPr>
              <w:tabs>
                <w:tab w:val="left" w:pos="142"/>
              </w:tabs>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Pr>
              <w:t>Aussi, l’abandon par le mari de sa femme enceinte plus de deux mois sans motif valable, constitue un délit grave puni par la loi.</w:t>
            </w:r>
          </w:p>
          <w:p w:rsidR="004924C8" w:rsidRPr="005311D5" w:rsidRDefault="004924C8" w:rsidP="005311D5">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V. Art. 330-332 du c. pen.</w:t>
            </w:r>
          </w:p>
          <w:p w:rsidR="004924C8" w:rsidRPr="00311A3D" w:rsidRDefault="004924C8" w:rsidP="0092587E">
            <w:pPr>
              <w:pStyle w:val="Paragraphedeliste"/>
              <w:tabs>
                <w:tab w:val="left" w:pos="142"/>
              </w:tabs>
              <w:bidi/>
              <w:ind w:left="0"/>
              <w:jc w:val="both"/>
              <w:rPr>
                <w:rFonts w:ascii="Traditional Arabic" w:hAnsi="Traditional Arabic" w:cs="Traditional Arabic"/>
                <w:b/>
                <w:bCs/>
                <w:sz w:val="32"/>
                <w:szCs w:val="32"/>
                <w:rtl/>
              </w:rPr>
            </w:pPr>
            <w:r w:rsidRPr="00311A3D">
              <w:rPr>
                <w:rFonts w:ascii="Traditional Arabic" w:hAnsi="Traditional Arabic" w:cs="Traditional Arabic"/>
                <w:b/>
                <w:bCs/>
                <w:sz w:val="32"/>
                <w:szCs w:val="32"/>
                <w:rtl/>
              </w:rPr>
              <w:t xml:space="preserve">وشاية كاذبة: </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إتهام كاذب يوجه ضد شخص أو عدة أشخاص لدى رجال الضبط القضائي، الشرطة الإدارية أو القضائية، أو لدى السلطات المؤهلة قانونًا للقيام بالمتابعات، للرؤساء في التدرج الوظيفي أو لم</w:t>
            </w:r>
            <w:r w:rsidR="00DA05B0">
              <w:rPr>
                <w:rFonts w:ascii="Traditional Arabic" w:hAnsi="Traditional Arabic" w:cs="Traditional Arabic"/>
                <w:sz w:val="32"/>
                <w:szCs w:val="32"/>
                <w:rtl/>
              </w:rPr>
              <w:t>ستخدمي الشخص الموشى به. يمكن لل</w:t>
            </w:r>
            <w:r w:rsidRPr="00311A3D">
              <w:rPr>
                <w:rFonts w:ascii="Traditional Arabic" w:hAnsi="Traditional Arabic" w:cs="Traditional Arabic"/>
                <w:sz w:val="32"/>
                <w:szCs w:val="32"/>
                <w:rtl/>
              </w:rPr>
              <w:t xml:space="preserve">واشي أن يتعرض لعقوبة سالبة للحرية تتراوح ما </w:t>
            </w:r>
            <w:r w:rsidRPr="00311A3D">
              <w:rPr>
                <w:rFonts w:ascii="Traditional Arabic" w:hAnsi="Traditional Arabic" w:cs="Traditional Arabic"/>
                <w:sz w:val="32"/>
                <w:szCs w:val="32"/>
                <w:rtl/>
              </w:rPr>
              <w:lastRenderedPageBreak/>
              <w:t>بين 6 أشهر إلى 5 سنوات وبغرامة من 500 إلى 15,000 دج.</w:t>
            </w:r>
          </w:p>
          <w:p w:rsidR="004924C8" w:rsidRDefault="004924C8" w:rsidP="005311D5">
            <w:pPr>
              <w:pStyle w:val="Paragraphedeliste"/>
              <w:tabs>
                <w:tab w:val="left" w:pos="142"/>
              </w:tabs>
              <w:bidi/>
              <w:ind w:left="0"/>
              <w:jc w:val="both"/>
              <w:rPr>
                <w:rFonts w:ascii="Traditional Arabic" w:hAnsi="Traditional Arabic" w:cs="Traditional Arabic"/>
                <w:sz w:val="32"/>
                <w:szCs w:val="32"/>
              </w:rPr>
            </w:pPr>
            <w:r w:rsidRPr="00311A3D">
              <w:rPr>
                <w:rFonts w:ascii="Traditional Arabic" w:hAnsi="Traditional Arabic" w:cs="Traditional Arabic"/>
                <w:sz w:val="32"/>
                <w:szCs w:val="32"/>
                <w:rtl/>
              </w:rPr>
              <w:t>راجع المادة 300 من قانون العقوبات.</w:t>
            </w:r>
          </w:p>
          <w:p w:rsidR="004924C8" w:rsidRPr="00311A3D" w:rsidRDefault="004924C8" w:rsidP="004924C8">
            <w:pPr>
              <w:pStyle w:val="Paragraphedeliste"/>
              <w:tabs>
                <w:tab w:val="left" w:pos="142"/>
              </w:tabs>
              <w:ind w:left="0"/>
              <w:jc w:val="both"/>
              <w:rPr>
                <w:rFonts w:ascii="Traditional Arabic" w:hAnsi="Traditional Arabic" w:cs="Traditional Arabic"/>
                <w:b/>
                <w:bCs/>
                <w:sz w:val="32"/>
                <w:szCs w:val="32"/>
              </w:rPr>
            </w:pPr>
            <w:r w:rsidRPr="00311A3D">
              <w:rPr>
                <w:rFonts w:ascii="Traditional Arabic" w:hAnsi="Traditional Arabic" w:cs="Traditional Arabic"/>
                <w:b/>
                <w:bCs/>
                <w:sz w:val="32"/>
                <w:szCs w:val="32"/>
              </w:rPr>
              <w:t>DENONCIATION CALOMNIEUSE</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(dr.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Accusation mensongère portée contre une ou plusieurs personnes auprès d’officiers de justice, de police administrative ou judiciaire, ou des autorités habilitées à y donner suite, aux supérieurs hiérarchiques ou aux employeurs du dénoncé ; le dénonciateur peut encourir une peine privative de liberté allant de six mois à cinq ans et d’une amende de 500 à 15.000 DA.</w:t>
            </w:r>
          </w:p>
          <w:p w:rsidR="004924C8" w:rsidRPr="005311D5" w:rsidRDefault="004924C8" w:rsidP="005311D5">
            <w:pPr>
              <w:tabs>
                <w:tab w:val="left" w:pos="142"/>
              </w:tabs>
              <w:jc w:val="both"/>
              <w:rPr>
                <w:rFonts w:ascii="Traditional Arabic" w:hAnsi="Traditional Arabic" w:cs="Traditional Arabic"/>
                <w:sz w:val="32"/>
                <w:szCs w:val="32"/>
              </w:rPr>
            </w:pPr>
            <w:r w:rsidRPr="00311A3D">
              <w:rPr>
                <w:rFonts w:ascii="Traditional Arabic" w:hAnsi="Traditional Arabic" w:cs="Traditional Arabic"/>
                <w:sz w:val="32"/>
                <w:szCs w:val="32"/>
              </w:rPr>
              <w:t>V. Art. 300 du c. pen.</w:t>
            </w:r>
          </w:p>
          <w:p w:rsidR="004924C8" w:rsidRPr="00311A3D" w:rsidRDefault="004924C8" w:rsidP="00065ECB">
            <w:pPr>
              <w:tabs>
                <w:tab w:val="left" w:pos="142"/>
              </w:tabs>
              <w:bidi/>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بلاغ نهائي، إنذار، شروط نهائية: </w:t>
            </w:r>
            <w:r w:rsidRPr="00311A3D">
              <w:rPr>
                <w:rFonts w:ascii="Traditional Arabic" w:hAnsi="Traditional Arabic" w:cs="Traditional Arabic"/>
                <w:sz w:val="32"/>
                <w:szCs w:val="32"/>
                <w:rtl/>
              </w:rPr>
              <w:t>(القانون الدولي العام).</w:t>
            </w:r>
          </w:p>
          <w:p w:rsidR="004924C8" w:rsidRDefault="004924C8" w:rsidP="0092587E">
            <w:pPr>
              <w:bidi/>
              <w:rPr>
                <w:rFonts w:ascii="Traditional Arabic" w:hAnsi="Traditional Arabic" w:cs="Traditional Arabic"/>
                <w:sz w:val="32"/>
                <w:szCs w:val="32"/>
              </w:rPr>
            </w:pPr>
            <w:r w:rsidRPr="00311A3D">
              <w:rPr>
                <w:rFonts w:ascii="Traditional Arabic" w:hAnsi="Traditional Arabic" w:cs="Traditional Arabic"/>
                <w:sz w:val="32"/>
                <w:szCs w:val="32"/>
                <w:rtl/>
              </w:rPr>
              <w:t>قيام دولة بتوجيه إنذار حاسم إلى دولة أخرى من أجل القيام بشيء في ظرف مدة محددة.</w:t>
            </w:r>
          </w:p>
          <w:p w:rsidR="004924C8" w:rsidRPr="00311A3D" w:rsidRDefault="004924C8" w:rsidP="004924C8">
            <w:pPr>
              <w:tabs>
                <w:tab w:val="left" w:pos="142"/>
              </w:tabs>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ULTIMATUM </w:t>
            </w:r>
            <w:r w:rsidRPr="00311A3D">
              <w:rPr>
                <w:rFonts w:ascii="Traditional Arabic" w:hAnsi="Traditional Arabic" w:cs="Traditional Arabic"/>
                <w:sz w:val="32"/>
                <w:szCs w:val="32"/>
              </w:rPr>
              <w:t>(dr. int. Pub.)</w:t>
            </w:r>
          </w:p>
          <w:p w:rsidR="004924C8" w:rsidRPr="00311A3D" w:rsidRDefault="004924C8" w:rsidP="004924C8">
            <w:pPr>
              <w:tabs>
                <w:tab w:val="left" w:pos="142"/>
              </w:tabs>
              <w:jc w:val="both"/>
              <w:rPr>
                <w:rFonts w:ascii="Traditional Arabic" w:hAnsi="Traditional Arabic" w:cs="Traditional Arabic"/>
                <w:sz w:val="32"/>
                <w:szCs w:val="32"/>
              </w:rPr>
            </w:pPr>
            <w:r w:rsidRPr="00311A3D">
              <w:rPr>
                <w:rFonts w:ascii="Traditional Arabic" w:hAnsi="Traditional Arabic" w:cs="Traditional Arabic"/>
                <w:sz w:val="32"/>
                <w:szCs w:val="32"/>
              </w:rPr>
              <w:t xml:space="preserve">Fait pour un Etat d’adresser une sommation péremptoire à un autre Etat afin de faire quelque chose et ce, dans </w:t>
            </w:r>
            <w:r w:rsidR="00DA05B0">
              <w:rPr>
                <w:rFonts w:ascii="Traditional Arabic" w:hAnsi="Traditional Arabic" w:cs="Traditional Arabic"/>
                <w:sz w:val="32"/>
                <w:szCs w:val="32"/>
              </w:rPr>
              <w:t xml:space="preserve">un </w:t>
            </w:r>
            <w:r w:rsidRPr="00311A3D">
              <w:rPr>
                <w:rFonts w:ascii="Traditional Arabic" w:hAnsi="Traditional Arabic" w:cs="Traditional Arabic"/>
                <w:sz w:val="32"/>
                <w:szCs w:val="32"/>
              </w:rPr>
              <w:t>délai détermine.</w:t>
            </w:r>
          </w:p>
          <w:p w:rsidR="004924C8" w:rsidRPr="004924C8" w:rsidRDefault="004924C8" w:rsidP="0092587E">
            <w:pPr>
              <w:tabs>
                <w:tab w:val="left" w:pos="142"/>
              </w:tabs>
              <w:bidi/>
              <w:jc w:val="both"/>
              <w:rPr>
                <w:rFonts w:ascii="Traditional Arabic" w:hAnsi="Traditional Arabic" w:cs="Traditional Arabic"/>
                <w:b/>
                <w:bCs/>
                <w:sz w:val="32"/>
                <w:szCs w:val="32"/>
              </w:rPr>
            </w:pPr>
          </w:p>
          <w:p w:rsidR="004924C8" w:rsidRPr="00311A3D" w:rsidRDefault="004924C8" w:rsidP="0092587E">
            <w:pPr>
              <w:tabs>
                <w:tab w:val="left" w:pos="142"/>
              </w:tabs>
              <w:bidi/>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lastRenderedPageBreak/>
              <w:t xml:space="preserve">التأثير على الشهود: </w:t>
            </w:r>
            <w:r w:rsidRPr="00311A3D">
              <w:rPr>
                <w:rFonts w:ascii="Traditional Arabic" w:hAnsi="Traditional Arabic" w:cs="Traditional Arabic"/>
                <w:sz w:val="32"/>
                <w:szCs w:val="32"/>
                <w:rtl/>
              </w:rPr>
              <w:t>(القانون الجنائي).</w:t>
            </w:r>
          </w:p>
          <w:p w:rsidR="004924C8" w:rsidRPr="00311A3D" w:rsidRDefault="004924C8" w:rsidP="0092587E">
            <w:pPr>
              <w:tabs>
                <w:tab w:val="left" w:pos="142"/>
              </w:tabs>
              <w:bidi/>
              <w:jc w:val="both"/>
              <w:rPr>
                <w:rFonts w:ascii="Traditional Arabic" w:hAnsi="Traditional Arabic" w:cs="Traditional Arabic"/>
                <w:sz w:val="32"/>
                <w:szCs w:val="32"/>
                <w:rtl/>
              </w:rPr>
            </w:pPr>
            <w:r w:rsidRPr="00311A3D">
              <w:rPr>
                <w:rFonts w:ascii="Traditional Arabic" w:hAnsi="Traditional Arabic" w:cs="Traditional Arabic"/>
                <w:sz w:val="32"/>
                <w:szCs w:val="32"/>
                <w:rtl/>
              </w:rPr>
              <w:t>هو حث شاهد على الإدلاء بأقوال، شهادات أو بإقرارات كاذبة أمام القضاء.</w:t>
            </w:r>
          </w:p>
          <w:p w:rsidR="004924C8" w:rsidRPr="00311A3D" w:rsidRDefault="004924C8" w:rsidP="0092587E">
            <w:pPr>
              <w:tabs>
                <w:tab w:val="left" w:pos="142"/>
              </w:tabs>
              <w:bidi/>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236 من قانون العقوبات.</w:t>
            </w:r>
          </w:p>
          <w:p w:rsidR="004924C8" w:rsidRPr="00311A3D" w:rsidRDefault="004924C8" w:rsidP="004924C8">
            <w:pPr>
              <w:tabs>
                <w:tab w:val="left" w:pos="142"/>
              </w:tabs>
              <w:jc w:val="both"/>
              <w:rPr>
                <w:rFonts w:ascii="Traditional Arabic" w:hAnsi="Traditional Arabic" w:cs="Traditional Arabic"/>
                <w:sz w:val="32"/>
                <w:szCs w:val="32"/>
              </w:rPr>
            </w:pPr>
            <w:r w:rsidRPr="00311A3D">
              <w:rPr>
                <w:rFonts w:ascii="Traditional Arabic" w:hAnsi="Traditional Arabic" w:cs="Traditional Arabic"/>
                <w:b/>
                <w:bCs/>
                <w:sz w:val="32"/>
                <w:szCs w:val="32"/>
              </w:rPr>
              <w:t>SUBORNATION DE TEMOIN</w:t>
            </w:r>
            <w:r w:rsidRPr="00311A3D">
              <w:rPr>
                <w:rFonts w:ascii="Traditional Arabic" w:hAnsi="Traditional Arabic" w:cs="Traditional Arabic"/>
                <w:sz w:val="32"/>
                <w:szCs w:val="32"/>
              </w:rPr>
              <w:t>(dr. pen.)</w:t>
            </w:r>
          </w:p>
          <w:p w:rsidR="004924C8" w:rsidRPr="00311A3D" w:rsidRDefault="004924C8" w:rsidP="004924C8">
            <w:pPr>
              <w:tabs>
                <w:tab w:val="left" w:pos="142"/>
              </w:tabs>
              <w:jc w:val="both"/>
              <w:rPr>
                <w:rFonts w:ascii="Traditional Arabic" w:hAnsi="Traditional Arabic" w:cs="Traditional Arabic"/>
                <w:sz w:val="32"/>
                <w:szCs w:val="32"/>
              </w:rPr>
            </w:pPr>
            <w:r w:rsidRPr="00311A3D">
              <w:rPr>
                <w:rFonts w:ascii="Traditional Arabic" w:hAnsi="Traditional Arabic" w:cs="Traditional Arabic"/>
                <w:sz w:val="32"/>
                <w:szCs w:val="32"/>
              </w:rPr>
              <w:t>Fait d’inciter un témoin à déposer en justice des faits contraires à la réalité.</w:t>
            </w:r>
          </w:p>
          <w:p w:rsidR="004924C8" w:rsidRPr="00311A3D" w:rsidRDefault="004924C8" w:rsidP="004924C8">
            <w:pPr>
              <w:tabs>
                <w:tab w:val="left" w:pos="142"/>
              </w:tabs>
              <w:jc w:val="both"/>
              <w:rPr>
                <w:rFonts w:ascii="Traditional Arabic" w:hAnsi="Traditional Arabic" w:cs="Traditional Arabic"/>
                <w:sz w:val="32"/>
                <w:szCs w:val="32"/>
              </w:rPr>
            </w:pPr>
            <w:r w:rsidRPr="00311A3D">
              <w:rPr>
                <w:rFonts w:ascii="Traditional Arabic" w:hAnsi="Traditional Arabic" w:cs="Traditional Arabic"/>
                <w:sz w:val="32"/>
                <w:szCs w:val="32"/>
              </w:rPr>
              <w:t>V. Art. 236 du c. pen.</w:t>
            </w:r>
          </w:p>
          <w:p w:rsidR="004924C8" w:rsidRPr="004924C8" w:rsidRDefault="004924C8" w:rsidP="0092587E">
            <w:pPr>
              <w:tabs>
                <w:tab w:val="left" w:pos="142"/>
              </w:tabs>
              <w:bidi/>
              <w:jc w:val="both"/>
              <w:rPr>
                <w:rFonts w:ascii="Traditional Arabic" w:hAnsi="Traditional Arabic" w:cs="Traditional Arabic"/>
                <w:b/>
                <w:bCs/>
                <w:sz w:val="32"/>
                <w:szCs w:val="32"/>
              </w:rPr>
            </w:pPr>
          </w:p>
          <w:p w:rsidR="004924C8" w:rsidRPr="00311A3D" w:rsidRDefault="004924C8" w:rsidP="00065ECB">
            <w:pPr>
              <w:tabs>
                <w:tab w:val="left" w:pos="142"/>
              </w:tabs>
              <w:bidi/>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تجريم: </w:t>
            </w:r>
            <w:r w:rsidRPr="00311A3D">
              <w:rPr>
                <w:rFonts w:ascii="Traditional Arabic" w:hAnsi="Traditional Arabic" w:cs="Traditional Arabic"/>
                <w:sz w:val="32"/>
                <w:szCs w:val="32"/>
                <w:rtl/>
              </w:rPr>
              <w:t>(القانون الجنائي).</w:t>
            </w:r>
          </w:p>
          <w:p w:rsidR="004924C8" w:rsidRPr="00311A3D" w:rsidRDefault="004924C8" w:rsidP="00065ECB">
            <w:pPr>
              <w:pStyle w:val="Paragraphedeliste"/>
              <w:numPr>
                <w:ilvl w:val="0"/>
                <w:numId w:val="2"/>
              </w:numPr>
              <w:tabs>
                <w:tab w:val="left" w:pos="142"/>
                <w:tab w:val="right" w:pos="290"/>
              </w:tabs>
              <w:bidi/>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tl/>
              </w:rPr>
              <w:t>إتهام.</w:t>
            </w:r>
          </w:p>
          <w:p w:rsidR="004924C8" w:rsidRDefault="004924C8" w:rsidP="008D4B9C">
            <w:pPr>
              <w:pStyle w:val="Paragraphedeliste"/>
              <w:numPr>
                <w:ilvl w:val="0"/>
                <w:numId w:val="2"/>
              </w:numPr>
              <w:tabs>
                <w:tab w:val="left" w:pos="142"/>
                <w:tab w:val="right" w:pos="290"/>
              </w:tabs>
              <w:bidi/>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tl/>
              </w:rPr>
              <w:t>تعريف تشريعي لجريمة.</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INCRIMINATION </w:t>
            </w:r>
            <w:r w:rsidRPr="00311A3D">
              <w:rPr>
                <w:rFonts w:ascii="Traditional Arabic" w:hAnsi="Traditional Arabic" w:cs="Traditional Arabic"/>
                <w:sz w:val="32"/>
                <w:szCs w:val="32"/>
              </w:rPr>
              <w:t>(dr. pen.)</w:t>
            </w:r>
          </w:p>
          <w:p w:rsidR="004924C8" w:rsidRPr="00311A3D" w:rsidRDefault="004924C8" w:rsidP="004924C8">
            <w:pPr>
              <w:pStyle w:val="Paragraphedeliste"/>
              <w:numPr>
                <w:ilvl w:val="0"/>
                <w:numId w:val="2"/>
              </w:numPr>
              <w:tabs>
                <w:tab w:val="left" w:pos="142"/>
              </w:tabs>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Pr>
              <w:t>Accusation.</w:t>
            </w:r>
          </w:p>
          <w:p w:rsidR="004924C8" w:rsidRPr="000F559B" w:rsidRDefault="004924C8" w:rsidP="004924C8">
            <w:pPr>
              <w:pStyle w:val="Paragraphedeliste"/>
              <w:numPr>
                <w:ilvl w:val="0"/>
                <w:numId w:val="2"/>
              </w:numPr>
              <w:tabs>
                <w:tab w:val="left" w:pos="142"/>
              </w:tabs>
              <w:ind w:left="0" w:firstLine="0"/>
              <w:jc w:val="both"/>
              <w:rPr>
                <w:rFonts w:ascii="Traditional Arabic" w:hAnsi="Traditional Arabic" w:cs="Traditional Arabic"/>
                <w:sz w:val="32"/>
                <w:szCs w:val="32"/>
              </w:rPr>
            </w:pPr>
            <w:r w:rsidRPr="00311A3D">
              <w:rPr>
                <w:rFonts w:ascii="Traditional Arabic" w:hAnsi="Traditional Arabic" w:cs="Traditional Arabic"/>
                <w:sz w:val="32"/>
                <w:szCs w:val="32"/>
              </w:rPr>
              <w:t>Définition législative d’une infraction.</w:t>
            </w:r>
          </w:p>
          <w:p w:rsidR="004924C8" w:rsidRPr="008D4B9C" w:rsidRDefault="004924C8" w:rsidP="004924C8">
            <w:pPr>
              <w:pStyle w:val="Paragraphedeliste"/>
              <w:numPr>
                <w:ilvl w:val="0"/>
                <w:numId w:val="2"/>
              </w:numPr>
              <w:tabs>
                <w:tab w:val="left" w:pos="142"/>
                <w:tab w:val="right" w:pos="290"/>
              </w:tabs>
              <w:bidi/>
              <w:ind w:left="0" w:firstLine="0"/>
              <w:jc w:val="both"/>
              <w:rPr>
                <w:rFonts w:ascii="Traditional Arabic" w:hAnsi="Traditional Arabic" w:cs="Traditional Arabic"/>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تجسّس: </w:t>
            </w: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جناية يقوم بها شخص أجنبي تتمثل في سلسلة من الأفعال والتصرفات التي تستهدف المساس بسلامة التراب والإضرار بمصالح الدفاع الوطني. يعاقب الجاسوس بالإعدام.</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راجع المادة 64 من قانون العقوبات.</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ESPIONNAGE </w:t>
            </w:r>
            <w:r w:rsidRPr="00311A3D">
              <w:rPr>
                <w:rFonts w:ascii="Traditional Arabic" w:hAnsi="Traditional Arabic" w:cs="Traditional Arabic"/>
                <w:sz w:val="32"/>
                <w:szCs w:val="32"/>
              </w:rPr>
              <w:t>(dr.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 xml:space="preserve">Crime réalisé par un étranger qui consiste en une série d’actes </w:t>
            </w:r>
            <w:r w:rsidRPr="00311A3D">
              <w:rPr>
                <w:rFonts w:ascii="Traditional Arabic" w:hAnsi="Traditional Arabic" w:cs="Traditional Arabic"/>
                <w:sz w:val="32"/>
                <w:szCs w:val="32"/>
              </w:rPr>
              <w:lastRenderedPageBreak/>
              <w:t>tendant à mettre en péril l’intégrité du territoire et de nuire à la défense nationale. L’auteur de l’espionnage est puni de mort.</w:t>
            </w:r>
          </w:p>
          <w:p w:rsidR="004924C8" w:rsidRPr="001B4437" w:rsidRDefault="004924C8" w:rsidP="004924C8">
            <w:pPr>
              <w:pStyle w:val="Paragraphedeliste"/>
              <w:tabs>
                <w:tab w:val="left" w:pos="142"/>
              </w:tabs>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Pr>
              <w:t>V. Art. 64 du c. pen.</w:t>
            </w: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Default="004924C8" w:rsidP="000F559B">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0F559B">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b/>
                <w:bCs/>
                <w:sz w:val="32"/>
                <w:szCs w:val="32"/>
                <w:rtl/>
              </w:rPr>
              <w:t xml:space="preserve">تجنيح: </w:t>
            </w:r>
            <w:r w:rsidRPr="00311A3D">
              <w:rPr>
                <w:rFonts w:ascii="Traditional Arabic" w:hAnsi="Traditional Arabic" w:cs="Traditional Arabic"/>
                <w:sz w:val="32"/>
                <w:szCs w:val="32"/>
                <w:rtl/>
              </w:rPr>
              <w:t>(الإجراءات الجنائية).</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إجراء يتمثل في تعديل تصنيف جناية إلى جنحة وذلك بعد إبعاد كل الظروف المشددة المحيطة بها حتى تفصل فيها محكمة الجنح.</w:t>
            </w: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 xml:space="preserve">CORRECTIONNALISATION </w:t>
            </w:r>
            <w:r w:rsidRPr="00311A3D">
              <w:rPr>
                <w:rFonts w:ascii="Traditional Arabic" w:hAnsi="Traditional Arabic" w:cs="Traditional Arabic"/>
                <w:sz w:val="32"/>
                <w:szCs w:val="32"/>
              </w:rPr>
              <w:t>(pr.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Procédé qui consiste à disqualifier un crime en délit, après écartement des circonstances aggravantes, de façon qu’il puisse être jugé par le tribunal correctionnel.</w:t>
            </w:r>
          </w:p>
          <w:p w:rsidR="004924C8" w:rsidRP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Default="004924C8" w:rsidP="0092587E">
            <w:pPr>
              <w:pStyle w:val="Paragraphedeliste"/>
              <w:tabs>
                <w:tab w:val="left" w:pos="142"/>
              </w:tabs>
              <w:bidi/>
              <w:ind w:left="0"/>
              <w:jc w:val="both"/>
              <w:rPr>
                <w:rFonts w:ascii="Traditional Arabic" w:hAnsi="Traditional Arabic" w:cs="Traditional Arabic"/>
                <w:b/>
                <w:bCs/>
                <w:sz w:val="32"/>
                <w:szCs w:val="32"/>
              </w:rPr>
            </w:pP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Pr>
                <w:rFonts w:ascii="Traditional Arabic" w:hAnsi="Traditional Arabic" w:cs="Traditional Arabic"/>
                <w:b/>
                <w:bCs/>
                <w:sz w:val="32"/>
                <w:szCs w:val="32"/>
                <w:rtl/>
              </w:rPr>
              <w:t>ت</w:t>
            </w:r>
            <w:r>
              <w:rPr>
                <w:rFonts w:ascii="Traditional Arabic" w:hAnsi="Traditional Arabic" w:cs="Traditional Arabic" w:hint="cs"/>
                <w:b/>
                <w:bCs/>
                <w:sz w:val="32"/>
                <w:szCs w:val="32"/>
                <w:rtl/>
              </w:rPr>
              <w:t>بديل</w:t>
            </w:r>
            <w:r w:rsidRPr="00311A3D">
              <w:rPr>
                <w:rFonts w:ascii="Traditional Arabic" w:hAnsi="Traditional Arabic" w:cs="Traditional Arabic"/>
                <w:b/>
                <w:bCs/>
                <w:sz w:val="32"/>
                <w:szCs w:val="32"/>
                <w:rtl/>
              </w:rPr>
              <w:t xml:space="preserve"> العقوبة: </w:t>
            </w:r>
            <w:r w:rsidRPr="00311A3D">
              <w:rPr>
                <w:rFonts w:ascii="Traditional Arabic" w:hAnsi="Traditional Arabic" w:cs="Traditional Arabic"/>
                <w:sz w:val="32"/>
                <w:szCs w:val="32"/>
                <w:rtl/>
              </w:rPr>
              <w:t>(القانون الجنائي).</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تعويض عقوبة صدر بها الحكم بأخرى أخف منها.</w:t>
            </w:r>
          </w:p>
          <w:p w:rsidR="004924C8" w:rsidRPr="00311A3D" w:rsidRDefault="004924C8" w:rsidP="0092587E">
            <w:pPr>
              <w:pStyle w:val="Paragraphedeliste"/>
              <w:tabs>
                <w:tab w:val="left" w:pos="142"/>
              </w:tabs>
              <w:bidi/>
              <w:ind w:left="0"/>
              <w:jc w:val="both"/>
              <w:rPr>
                <w:rFonts w:ascii="Traditional Arabic" w:hAnsi="Traditional Arabic" w:cs="Traditional Arabic"/>
                <w:sz w:val="32"/>
                <w:szCs w:val="32"/>
                <w:rtl/>
              </w:rPr>
            </w:pPr>
            <w:r w:rsidRPr="00311A3D">
              <w:rPr>
                <w:rFonts w:ascii="Traditional Arabic" w:hAnsi="Traditional Arabic" w:cs="Traditional Arabic"/>
                <w:sz w:val="32"/>
                <w:szCs w:val="32"/>
                <w:rtl/>
              </w:rPr>
              <w:t>مثال: عقوبة بالإعدام تبدّل بالسجن المؤبد.</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b/>
                <w:bCs/>
                <w:sz w:val="32"/>
                <w:szCs w:val="32"/>
              </w:rPr>
              <w:t>COMMUTATION DE PEINE</w:t>
            </w:r>
            <w:r w:rsidRPr="00311A3D">
              <w:rPr>
                <w:rFonts w:ascii="Traditional Arabic" w:hAnsi="Traditional Arabic" w:cs="Traditional Arabic"/>
                <w:sz w:val="32"/>
                <w:szCs w:val="32"/>
              </w:rPr>
              <w:t xml:space="preserve"> (dr. pen.)</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t>Remplacement d’une peine prononcée par une autre moins forte.</w:t>
            </w:r>
          </w:p>
          <w:p w:rsidR="004924C8" w:rsidRPr="00311A3D" w:rsidRDefault="004924C8" w:rsidP="004924C8">
            <w:pPr>
              <w:pStyle w:val="Paragraphedeliste"/>
              <w:tabs>
                <w:tab w:val="left" w:pos="142"/>
              </w:tabs>
              <w:ind w:left="0"/>
              <w:jc w:val="both"/>
              <w:rPr>
                <w:rFonts w:ascii="Traditional Arabic" w:hAnsi="Traditional Arabic" w:cs="Traditional Arabic"/>
                <w:sz w:val="32"/>
                <w:szCs w:val="32"/>
              </w:rPr>
            </w:pPr>
            <w:r w:rsidRPr="00311A3D">
              <w:rPr>
                <w:rFonts w:ascii="Traditional Arabic" w:hAnsi="Traditional Arabic" w:cs="Traditional Arabic"/>
                <w:sz w:val="32"/>
                <w:szCs w:val="32"/>
              </w:rPr>
              <w:lastRenderedPageBreak/>
              <w:t>Exemple : peine capitale commuée en réclusion perpétuelle.</w:t>
            </w:r>
          </w:p>
          <w:p w:rsidR="004924C8" w:rsidRPr="004924C8" w:rsidRDefault="004924C8" w:rsidP="0092587E">
            <w:pPr>
              <w:bidi/>
            </w:pPr>
          </w:p>
          <w:p w:rsidR="004924C8" w:rsidRDefault="004924C8" w:rsidP="0092587E">
            <w:pPr>
              <w:bidi/>
              <w:rPr>
                <w:rtl/>
              </w:rPr>
            </w:pPr>
          </w:p>
        </w:tc>
        <w:tc>
          <w:tcPr>
            <w:tcW w:w="222" w:type="dxa"/>
          </w:tcPr>
          <w:p w:rsidR="004924C8" w:rsidRDefault="004924C8" w:rsidP="0092587E">
            <w:pPr>
              <w:bidi/>
              <w:rPr>
                <w:rtl/>
              </w:rPr>
            </w:pPr>
          </w:p>
        </w:tc>
      </w:tr>
      <w:tr w:rsidR="004924C8" w:rsidTr="004924C8">
        <w:trPr>
          <w:gridAfter w:val="2"/>
          <w:wAfter w:w="453" w:type="dxa"/>
          <w:trHeight w:val="1814"/>
        </w:trPr>
        <w:tc>
          <w:tcPr>
            <w:tcW w:w="4448" w:type="dxa"/>
          </w:tcPr>
          <w:p w:rsidR="004924C8" w:rsidRPr="00311A3D" w:rsidRDefault="004924C8" w:rsidP="00EB2E18">
            <w:pPr>
              <w:bidi/>
              <w:rPr>
                <w:rFonts w:ascii="Traditional Arabic" w:hAnsi="Traditional Arabic" w:cs="Traditional Arabic"/>
                <w:sz w:val="32"/>
                <w:szCs w:val="32"/>
                <w:rtl/>
              </w:rPr>
            </w:pPr>
          </w:p>
          <w:p w:rsidR="004924C8" w:rsidRDefault="004924C8" w:rsidP="00EB2E18">
            <w:pPr>
              <w:rPr>
                <w:rtl/>
              </w:rPr>
            </w:pPr>
          </w:p>
        </w:tc>
      </w:tr>
    </w:tbl>
    <w:p w:rsidR="00647C24" w:rsidRDefault="00647C24" w:rsidP="0092587E">
      <w:pPr>
        <w:bidi/>
      </w:pPr>
    </w:p>
    <w:sectPr w:rsidR="00647C24" w:rsidSect="008F60B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F6" w:rsidRDefault="00C40FF6" w:rsidP="005A50B5">
      <w:pPr>
        <w:spacing w:after="0" w:line="240" w:lineRule="auto"/>
      </w:pPr>
      <w:r>
        <w:separator/>
      </w:r>
    </w:p>
  </w:endnote>
  <w:endnote w:type="continuationSeparator" w:id="1">
    <w:p w:rsidR="00C40FF6" w:rsidRDefault="00C40FF6" w:rsidP="005A5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95463"/>
      <w:docPartObj>
        <w:docPartGallery w:val="Page Numbers (Bottom of Page)"/>
        <w:docPartUnique/>
      </w:docPartObj>
    </w:sdtPr>
    <w:sdtContent>
      <w:p w:rsidR="005A50B5" w:rsidRDefault="00010D38">
        <w:pPr>
          <w:pStyle w:val="Pieddepage"/>
          <w:jc w:val="center"/>
        </w:pPr>
        <w:r>
          <w:fldChar w:fldCharType="begin"/>
        </w:r>
        <w:r w:rsidR="005A50B5">
          <w:instrText>PAGE   \* MERGEFORMAT</w:instrText>
        </w:r>
        <w:r>
          <w:fldChar w:fldCharType="separate"/>
        </w:r>
        <w:r w:rsidR="00727FAA">
          <w:rPr>
            <w:noProof/>
          </w:rPr>
          <w:t>1</w:t>
        </w:r>
        <w:r>
          <w:fldChar w:fldCharType="end"/>
        </w:r>
      </w:p>
    </w:sdtContent>
  </w:sdt>
  <w:p w:rsidR="005A50B5" w:rsidRDefault="005A50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F6" w:rsidRDefault="00C40FF6" w:rsidP="005A50B5">
      <w:pPr>
        <w:spacing w:after="0" w:line="240" w:lineRule="auto"/>
      </w:pPr>
      <w:r>
        <w:separator/>
      </w:r>
    </w:p>
  </w:footnote>
  <w:footnote w:type="continuationSeparator" w:id="1">
    <w:p w:rsidR="00C40FF6" w:rsidRDefault="00C40FF6" w:rsidP="005A5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097"/>
    <w:multiLevelType w:val="hybridMultilevel"/>
    <w:tmpl w:val="26062A34"/>
    <w:lvl w:ilvl="0" w:tplc="46C0C390">
      <w:start w:val="1"/>
      <w:numFmt w:val="bullet"/>
      <w:lvlText w:val="­"/>
      <w:lvlJc w:val="left"/>
      <w:pPr>
        <w:ind w:left="900" w:hanging="360"/>
      </w:pPr>
      <w:rPr>
        <w:rFonts w:ascii="Simplified Arabic" w:hAnsi="Simplified Arabic"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4CAD3C39"/>
    <w:multiLevelType w:val="hybridMultilevel"/>
    <w:tmpl w:val="367A2D96"/>
    <w:lvl w:ilvl="0" w:tplc="46C0C39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026FD9"/>
    <w:multiLevelType w:val="hybridMultilevel"/>
    <w:tmpl w:val="D2D4D05A"/>
    <w:lvl w:ilvl="0" w:tplc="46C0C390">
      <w:start w:val="1"/>
      <w:numFmt w:val="bullet"/>
      <w:lvlText w:val="­"/>
      <w:lvlJc w:val="left"/>
      <w:pPr>
        <w:ind w:left="720" w:hanging="360"/>
      </w:pPr>
      <w:rPr>
        <w:rFonts w:ascii="Simplified Arabic" w:hAnsi="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2587E"/>
    <w:rsid w:val="00010D38"/>
    <w:rsid w:val="000653C7"/>
    <w:rsid w:val="00065ECB"/>
    <w:rsid w:val="000F559B"/>
    <w:rsid w:val="00122BFE"/>
    <w:rsid w:val="00216997"/>
    <w:rsid w:val="00234ADF"/>
    <w:rsid w:val="002F0F95"/>
    <w:rsid w:val="00315127"/>
    <w:rsid w:val="003334CB"/>
    <w:rsid w:val="003A5FF3"/>
    <w:rsid w:val="003F12C2"/>
    <w:rsid w:val="0040114A"/>
    <w:rsid w:val="004924C8"/>
    <w:rsid w:val="004D513D"/>
    <w:rsid w:val="0052728A"/>
    <w:rsid w:val="005311D5"/>
    <w:rsid w:val="005A50B5"/>
    <w:rsid w:val="005E6BBF"/>
    <w:rsid w:val="00614201"/>
    <w:rsid w:val="00636B9F"/>
    <w:rsid w:val="0064732F"/>
    <w:rsid w:val="00647C24"/>
    <w:rsid w:val="00652C83"/>
    <w:rsid w:val="00723661"/>
    <w:rsid w:val="00723E05"/>
    <w:rsid w:val="00727FAA"/>
    <w:rsid w:val="007D51EB"/>
    <w:rsid w:val="008B6004"/>
    <w:rsid w:val="008D4B9C"/>
    <w:rsid w:val="008F60B4"/>
    <w:rsid w:val="0092587E"/>
    <w:rsid w:val="00950B7D"/>
    <w:rsid w:val="00A268D6"/>
    <w:rsid w:val="00A4734E"/>
    <w:rsid w:val="00A947DE"/>
    <w:rsid w:val="00B40696"/>
    <w:rsid w:val="00C0653A"/>
    <w:rsid w:val="00C17960"/>
    <w:rsid w:val="00C308B9"/>
    <w:rsid w:val="00C40FF6"/>
    <w:rsid w:val="00C63213"/>
    <w:rsid w:val="00C72352"/>
    <w:rsid w:val="00C8254A"/>
    <w:rsid w:val="00CE40B1"/>
    <w:rsid w:val="00CF3165"/>
    <w:rsid w:val="00D64F62"/>
    <w:rsid w:val="00DA05B0"/>
    <w:rsid w:val="00DF0E4C"/>
    <w:rsid w:val="00F1757C"/>
    <w:rsid w:val="00F61FA9"/>
    <w:rsid w:val="00F76DA4"/>
    <w:rsid w:val="00FA2151"/>
    <w:rsid w:val="00FB6F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FB6F77"/>
    <w:rPr>
      <w:b/>
      <w:bCs/>
      <w:smallCaps/>
      <w:color w:val="4472C4" w:themeColor="accent1"/>
      <w:spacing w:val="5"/>
    </w:rPr>
  </w:style>
  <w:style w:type="table" w:styleId="Grilledutableau">
    <w:name w:val="Table Grid"/>
    <w:basedOn w:val="TableauNormal"/>
    <w:uiPriority w:val="39"/>
    <w:rsid w:val="00925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2587E"/>
    <w:pPr>
      <w:ind w:left="720"/>
      <w:contextualSpacing/>
    </w:pPr>
  </w:style>
  <w:style w:type="paragraph" w:styleId="En-tte">
    <w:name w:val="header"/>
    <w:basedOn w:val="Normal"/>
    <w:link w:val="En-tteCar"/>
    <w:uiPriority w:val="99"/>
    <w:unhideWhenUsed/>
    <w:rsid w:val="005A50B5"/>
    <w:pPr>
      <w:tabs>
        <w:tab w:val="center" w:pos="4536"/>
        <w:tab w:val="right" w:pos="9072"/>
      </w:tabs>
      <w:spacing w:after="0" w:line="240" w:lineRule="auto"/>
    </w:pPr>
  </w:style>
  <w:style w:type="character" w:customStyle="1" w:styleId="En-tteCar">
    <w:name w:val="En-tête Car"/>
    <w:basedOn w:val="Policepardfaut"/>
    <w:link w:val="En-tte"/>
    <w:uiPriority w:val="99"/>
    <w:rsid w:val="005A50B5"/>
  </w:style>
  <w:style w:type="paragraph" w:styleId="Pieddepage">
    <w:name w:val="footer"/>
    <w:basedOn w:val="Normal"/>
    <w:link w:val="PieddepageCar"/>
    <w:uiPriority w:val="99"/>
    <w:unhideWhenUsed/>
    <w:rsid w:val="005A50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50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9A90-91B3-4162-AED1-A76640E1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2626</Words>
  <Characters>14449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dc:creator>
  <cp:keywords/>
  <dc:description/>
  <cp:lastModifiedBy>a</cp:lastModifiedBy>
  <cp:revision>31</cp:revision>
  <dcterms:created xsi:type="dcterms:W3CDTF">2021-02-04T10:30:00Z</dcterms:created>
  <dcterms:modified xsi:type="dcterms:W3CDTF">2024-12-22T21:09:00Z</dcterms:modified>
</cp:coreProperties>
</file>