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EB" w:rsidRPr="00B916CF" w:rsidRDefault="00A27EEB" w:rsidP="00A27EEB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7C17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حكومة: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(القانون الدستوري) تطلق تسمية (حكومة)على الجهاز الجماعي المتألف من وزراء والذي يرأسه أحدهم(الوزير الأول)أو (رئيس الحكومة) تتداول الحكومة ضمن مجلس الوزراء الذي يرأسه رئيس الجمهورية.</w:t>
      </w:r>
    </w:p>
    <w:p w:rsidR="00A27EEB" w:rsidRPr="00B916CF" w:rsidRDefault="00A27EEB" w:rsidP="00A27EEB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B916CF">
        <w:rPr>
          <w:rFonts w:ascii="Traditional Arabic" w:hAnsi="Traditional Arabic" w:cs="Traditional Arabic"/>
          <w:sz w:val="36"/>
          <w:szCs w:val="36"/>
        </w:rPr>
        <w:t>GOUVERNEMENT (dr. const.)</w:t>
      </w:r>
    </w:p>
    <w:p w:rsidR="00A27EEB" w:rsidRPr="00B916CF" w:rsidRDefault="00A27EEB" w:rsidP="00A27EEB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Le terme du</w:t>
      </w:r>
      <w:r w:rsidRPr="00B916CF">
        <w:rPr>
          <w:rFonts w:ascii="Traditional Arabic" w:hAnsi="Traditional Arabic" w:cs="Traditional Arabic"/>
          <w:sz w:val="36"/>
          <w:szCs w:val="36"/>
        </w:rPr>
        <w:t xml:space="preserve"> gouvernement indique l'organe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B916CF">
        <w:rPr>
          <w:rFonts w:ascii="Traditional Arabic" w:hAnsi="Traditional Arabic" w:cs="Traditional Arabic"/>
          <w:sz w:val="36"/>
          <w:szCs w:val="36"/>
        </w:rPr>
        <w:t>collectif composé de ministres et dirigé par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B916CF">
        <w:rPr>
          <w:rFonts w:ascii="Traditional Arabic" w:hAnsi="Traditional Arabic" w:cs="Traditional Arabic"/>
          <w:sz w:val="36"/>
          <w:szCs w:val="36"/>
        </w:rPr>
        <w:t>l'un d'entre eux dénommé premier ministre ou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B916CF">
        <w:rPr>
          <w:rFonts w:ascii="Traditional Arabic" w:hAnsi="Traditional Arabic" w:cs="Traditional Arabic"/>
          <w:sz w:val="36"/>
          <w:szCs w:val="36"/>
        </w:rPr>
        <w:t>chef</w:t>
      </w:r>
      <w:r>
        <w:rPr>
          <w:rFonts w:ascii="Traditional Arabic" w:hAnsi="Traditional Arabic" w:cs="Traditional Arabic"/>
          <w:sz w:val="36"/>
          <w:szCs w:val="36"/>
        </w:rPr>
        <w:t xml:space="preserve"> du</w:t>
      </w:r>
      <w:r w:rsidRPr="00B916CF">
        <w:rPr>
          <w:rFonts w:ascii="Traditional Arabic" w:hAnsi="Traditional Arabic" w:cs="Traditional Arabic"/>
          <w:sz w:val="36"/>
          <w:szCs w:val="36"/>
        </w:rPr>
        <w:t xml:space="preserve"> gouvernement. Le gouvernement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B916CF">
        <w:rPr>
          <w:rFonts w:ascii="Traditional Arabic" w:hAnsi="Traditional Arabic" w:cs="Traditional Arabic"/>
          <w:sz w:val="36"/>
          <w:szCs w:val="36"/>
        </w:rPr>
        <w:t>délibère en conseil des ministres présidé par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B916CF">
        <w:rPr>
          <w:rFonts w:ascii="Traditional Arabic" w:hAnsi="Traditional Arabic" w:cs="Traditional Arabic"/>
          <w:sz w:val="36"/>
          <w:szCs w:val="36"/>
        </w:rPr>
        <w:t>le président de la république.</w:t>
      </w:r>
    </w:p>
    <w:p w:rsidR="00A27EEB" w:rsidRPr="00DB50A5" w:rsidRDefault="00A27EEB" w:rsidP="00A27EEB">
      <w:pPr>
        <w:jc w:val="center"/>
        <w:rPr>
          <w:rtl/>
        </w:rPr>
      </w:pPr>
    </w:p>
    <w:p w:rsidR="00A27EEB" w:rsidRPr="000235C5" w:rsidRDefault="00A27EEB" w:rsidP="00A27EEB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B916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حملة انتخابية:(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القانون الدستوري) مدة سابقة للانتخابات تشهد نشاطا سياسيا متميزا غايته الدعاية.</w:t>
      </w:r>
    </w:p>
    <w:p w:rsidR="00A27EEB" w:rsidRPr="000235C5" w:rsidRDefault="00A27EEB" w:rsidP="00A27EEB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CA</w:t>
      </w:r>
      <w:r w:rsidRPr="000235C5">
        <w:rPr>
          <w:rFonts w:ascii="Traditional Arabic" w:hAnsi="Traditional Arabic" w:cs="Traditional Arabic"/>
          <w:sz w:val="36"/>
          <w:szCs w:val="36"/>
        </w:rPr>
        <w:t>MPAGNE ELECTORALE (dr. const.)</w:t>
      </w:r>
    </w:p>
    <w:p w:rsidR="00A27EEB" w:rsidRDefault="00A27EEB" w:rsidP="00A27EE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235C5">
        <w:rPr>
          <w:rFonts w:ascii="Traditional Arabic" w:hAnsi="Traditional Arabic" w:cs="Traditional Arabic"/>
          <w:sz w:val="36"/>
          <w:szCs w:val="36"/>
        </w:rPr>
        <w:t>Période de particulière activité politique précédant de</w:t>
      </w:r>
      <w:r>
        <w:rPr>
          <w:rFonts w:ascii="Traditional Arabic" w:hAnsi="Traditional Arabic" w:cs="Traditional Arabic"/>
          <w:sz w:val="36"/>
          <w:szCs w:val="36"/>
        </w:rPr>
        <w:t xml:space="preserve">s </w:t>
      </w:r>
      <w:r w:rsidRPr="000235C5">
        <w:rPr>
          <w:rFonts w:ascii="Traditional Arabic" w:hAnsi="Traditional Arabic" w:cs="Traditional Arabic"/>
          <w:sz w:val="36"/>
          <w:szCs w:val="36"/>
        </w:rPr>
        <w:t>élections et ayant un but de propagande.</w:t>
      </w:r>
    </w:p>
    <w:p w:rsidR="00A27EEB" w:rsidRPr="000235C5" w:rsidRDefault="00A27EEB" w:rsidP="00A27EEB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0235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جريدة رسمية: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(القانون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إداري) نشرة حكومية يضمن من خلالها إعلام الغير عن القوانين،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مراسيم، الأوامر ،القرارات، المعاهدات المناشير، الإعلانات ،والبلاغات...إلخ.</w:t>
      </w:r>
    </w:p>
    <w:p w:rsidR="00A27EEB" w:rsidRPr="000235C5" w:rsidRDefault="00A27EEB" w:rsidP="00A27EEB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0235C5">
        <w:rPr>
          <w:rFonts w:ascii="Traditional Arabic" w:hAnsi="Traditional Arabic" w:cs="Traditional Arabic"/>
          <w:sz w:val="36"/>
          <w:szCs w:val="36"/>
        </w:rPr>
        <w:t>JOURNAL OFFICIEL (dr. adm.)</w:t>
      </w:r>
    </w:p>
    <w:p w:rsidR="00A27EEB" w:rsidRPr="000C4362" w:rsidRDefault="00A27EEB" w:rsidP="00A27EEB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0235C5">
        <w:rPr>
          <w:rFonts w:ascii="Traditional Arabic" w:hAnsi="Traditional Arabic" w:cs="Traditional Arabic"/>
          <w:sz w:val="36"/>
          <w:szCs w:val="36"/>
        </w:rPr>
        <w:t>Publication gouvernementale à travers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0235C5">
        <w:rPr>
          <w:rFonts w:ascii="Traditional Arabic" w:hAnsi="Traditional Arabic" w:cs="Traditional Arabic"/>
          <w:sz w:val="36"/>
          <w:szCs w:val="36"/>
        </w:rPr>
        <w:t>laquelle est assurée l'information des tiers sur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0235C5">
        <w:rPr>
          <w:rFonts w:ascii="Traditional Arabic" w:hAnsi="Traditional Arabic" w:cs="Traditional Arabic"/>
          <w:sz w:val="36"/>
          <w:szCs w:val="36"/>
        </w:rPr>
        <w:t>les lois, décrets, arrêtés, décisions, conventions, circulaires, avis, et communications</w:t>
      </w:r>
      <w:r>
        <w:t>.</w:t>
      </w:r>
    </w:p>
    <w:p w:rsidR="00FE7BFA" w:rsidRPr="00A27EEB" w:rsidRDefault="00FE7BFA" w:rsidP="00FE7BFA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07F8E" w:rsidRDefault="00507F8E" w:rsidP="00507F8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96738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قانون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96738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بحري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:(القانون الخاص) فرع من فروع القانون يشمل دراسة القواعد القانونية المتعلقة بالملاحة البحرية بما فيها نقل المسافرين والبضائع بحرا(ملاحة تجارة،بحرية،نزهة).</w:t>
      </w:r>
    </w:p>
    <w:p w:rsidR="00507F8E" w:rsidRPr="00F87965" w:rsidRDefault="00507F8E" w:rsidP="00507F8E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F87965">
        <w:rPr>
          <w:rFonts w:ascii="Traditional Arabic" w:hAnsi="Traditional Arabic" w:cs="Traditional Arabic"/>
          <w:sz w:val="36"/>
          <w:szCs w:val="36"/>
        </w:rPr>
        <w:t>DROIT MARITIME (dr. priv.)</w:t>
      </w:r>
    </w:p>
    <w:p w:rsidR="00507F8E" w:rsidRPr="00F87965" w:rsidRDefault="00507F8E" w:rsidP="00507F8E">
      <w:pPr>
        <w:jc w:val="left"/>
        <w:rPr>
          <w:rFonts w:ascii="Traditional Arabic" w:hAnsi="Traditional Arabic" w:cs="Traditional Arabic"/>
          <w:sz w:val="36"/>
          <w:szCs w:val="36"/>
        </w:rPr>
      </w:pPr>
      <w:r w:rsidRPr="00F87965">
        <w:rPr>
          <w:rFonts w:ascii="Traditional Arabic" w:hAnsi="Traditional Arabic" w:cs="Traditional Arabic"/>
          <w:sz w:val="36"/>
          <w:szCs w:val="36"/>
        </w:rPr>
        <w:t>Branche de droit comprenant l'étude des</w:t>
      </w:r>
      <w:r>
        <w:rPr>
          <w:rFonts w:ascii="Traditional Arabic" w:hAnsi="Traditional Arabic" w:cs="Traditional Arabic"/>
          <w:sz w:val="36"/>
          <w:szCs w:val="36"/>
        </w:rPr>
        <w:t xml:space="preserve"> règles juridiques </w:t>
      </w:r>
      <w:r w:rsidRPr="00F87965">
        <w:rPr>
          <w:rFonts w:ascii="Traditional Arabic" w:hAnsi="Traditional Arabic" w:cs="Traditional Arabic"/>
          <w:sz w:val="36"/>
          <w:szCs w:val="36"/>
        </w:rPr>
        <w:t>relatives à la navigation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87965">
        <w:rPr>
          <w:rFonts w:ascii="Traditional Arabic" w:hAnsi="Traditional Arabic" w:cs="Traditional Arabic"/>
          <w:sz w:val="36"/>
          <w:szCs w:val="36"/>
        </w:rPr>
        <w:t>maritime y compris le transport des</w:t>
      </w:r>
    </w:p>
    <w:p w:rsidR="00507F8E" w:rsidRDefault="000A0C1A" w:rsidP="00507F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87965">
        <w:rPr>
          <w:rFonts w:ascii="Traditional Arabic" w:hAnsi="Traditional Arabic" w:cs="Traditional Arabic"/>
          <w:sz w:val="36"/>
          <w:szCs w:val="36"/>
        </w:rPr>
        <w:lastRenderedPageBreak/>
        <w:t>Voyageurs</w:t>
      </w:r>
      <w:r w:rsidR="00507F8E" w:rsidRPr="00F87965">
        <w:rPr>
          <w:rFonts w:ascii="Traditional Arabic" w:hAnsi="Traditional Arabic" w:cs="Traditional Arabic"/>
          <w:sz w:val="36"/>
          <w:szCs w:val="36"/>
        </w:rPr>
        <w:t xml:space="preserve"> et des marchandises par mer</w:t>
      </w:r>
      <w:r w:rsidR="00507F8E">
        <w:rPr>
          <w:rFonts w:ascii="Traditional Arabic" w:hAnsi="Traditional Arabic" w:cs="Traditional Arabic"/>
          <w:sz w:val="36"/>
          <w:szCs w:val="36"/>
        </w:rPr>
        <w:t xml:space="preserve"> </w:t>
      </w:r>
      <w:r w:rsidR="00507F8E" w:rsidRPr="00F87965">
        <w:rPr>
          <w:rFonts w:ascii="Traditional Arabic" w:hAnsi="Traditional Arabic" w:cs="Traditional Arabic"/>
          <w:sz w:val="36"/>
          <w:szCs w:val="36"/>
        </w:rPr>
        <w:t>(navigation commerciale, maritime, ou de</w:t>
      </w:r>
      <w:r w:rsidR="00507F8E">
        <w:rPr>
          <w:rFonts w:ascii="Traditional Arabic" w:hAnsi="Traditional Arabic" w:cs="Traditional Arabic"/>
          <w:sz w:val="36"/>
          <w:szCs w:val="36"/>
        </w:rPr>
        <w:t xml:space="preserve"> </w:t>
      </w:r>
      <w:r w:rsidR="00507F8E" w:rsidRPr="00F87965">
        <w:rPr>
          <w:rFonts w:ascii="Traditional Arabic" w:hAnsi="Traditional Arabic" w:cs="Traditional Arabic"/>
          <w:sz w:val="36"/>
          <w:szCs w:val="36"/>
        </w:rPr>
        <w:t>plaisance.)</w:t>
      </w:r>
    </w:p>
    <w:p w:rsidR="00507F8E" w:rsidRDefault="00507F8E" w:rsidP="00507F8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F879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قانون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F879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جبائي: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هو فرع من فروع القانون العام و هو يتضمن مجموعة القواعد القانونية المتعلقة بتطبيق قوانين الضرائب ومختلف التقنيات التي 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مكن تحصيلها.</w:t>
      </w:r>
    </w:p>
    <w:p w:rsidR="00507F8E" w:rsidRPr="00F83DCD" w:rsidRDefault="00507F8E" w:rsidP="00507F8E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DROIT FISCAL </w:t>
      </w:r>
    </w:p>
    <w:p w:rsidR="00507F8E" w:rsidRDefault="00507F8E" w:rsidP="00507F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83DCD">
        <w:rPr>
          <w:rFonts w:ascii="Traditional Arabic" w:hAnsi="Traditional Arabic" w:cs="Traditional Arabic"/>
          <w:sz w:val="36"/>
          <w:szCs w:val="36"/>
        </w:rPr>
        <w:t>Branche du droit public, il comprend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83DCD">
        <w:rPr>
          <w:rFonts w:ascii="Traditional Arabic" w:hAnsi="Traditional Arabic" w:cs="Traditional Arabic"/>
          <w:sz w:val="36"/>
          <w:szCs w:val="36"/>
        </w:rPr>
        <w:t>l'ensemble des règles juridiques relatives à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83DCD">
        <w:rPr>
          <w:rFonts w:ascii="Traditional Arabic" w:hAnsi="Traditional Arabic" w:cs="Traditional Arabic"/>
          <w:sz w:val="36"/>
          <w:szCs w:val="36"/>
        </w:rPr>
        <w:t>l'application des lois d'impôt et aux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83DCD">
        <w:rPr>
          <w:rFonts w:ascii="Traditional Arabic" w:hAnsi="Traditional Arabic" w:cs="Traditional Arabic"/>
          <w:sz w:val="36"/>
          <w:szCs w:val="36"/>
        </w:rPr>
        <w:t>techniques permettant de le percevoir.</w:t>
      </w:r>
    </w:p>
    <w:p w:rsidR="00507F8E" w:rsidRDefault="00507F8E" w:rsidP="00507F8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F83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دولة:(</w:t>
      </w:r>
      <w:r w:rsidRPr="001F3817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1F381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قانون الدستوري)،(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القانون الدولي العام) شخص من أشخاص القانون الدولي تحدده العناصر المكونة ونظامه،فالدولة كيان قانوني يتشكل من مجموعة هذه العناصر،كما تتمتع بالشخصية الاعتبارية وهي خاضعة للقانون العام،موحدة،وذات سيادة</w:t>
      </w:r>
    </w:p>
    <w:p w:rsidR="00507F8E" w:rsidRPr="00D171FD" w:rsidRDefault="00507F8E" w:rsidP="00507F8E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D171FD">
        <w:rPr>
          <w:rFonts w:ascii="Traditional Arabic" w:hAnsi="Traditional Arabic" w:cs="Traditional Arabic"/>
          <w:sz w:val="36"/>
          <w:szCs w:val="36"/>
        </w:rPr>
        <w:t>ETAT (dr. const.) (dr. int. pub.)</w:t>
      </w:r>
    </w:p>
    <w:p w:rsidR="00507F8E" w:rsidRDefault="00507F8E" w:rsidP="00507F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171FD">
        <w:rPr>
          <w:rFonts w:ascii="Traditional Arabic" w:hAnsi="Traditional Arabic" w:cs="Traditional Arabic"/>
          <w:sz w:val="36"/>
          <w:szCs w:val="36"/>
        </w:rPr>
        <w:t>Sujet de droit international qui se définit par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71FD">
        <w:rPr>
          <w:rFonts w:ascii="Traditional Arabic" w:hAnsi="Traditional Arabic" w:cs="Traditional Arabic"/>
          <w:sz w:val="36"/>
          <w:szCs w:val="36"/>
        </w:rPr>
        <w:t>s</w:t>
      </w:r>
      <w:r>
        <w:rPr>
          <w:rFonts w:ascii="Traditional Arabic" w:hAnsi="Traditional Arabic" w:cs="Traditional Arabic"/>
          <w:sz w:val="36"/>
          <w:szCs w:val="36"/>
        </w:rPr>
        <w:t>es</w:t>
      </w:r>
      <w:r w:rsidRPr="00D171FD">
        <w:rPr>
          <w:rFonts w:ascii="Traditional Arabic" w:hAnsi="Traditional Arabic" w:cs="Traditional Arabic"/>
          <w:sz w:val="36"/>
          <w:szCs w:val="36"/>
        </w:rPr>
        <w:t xml:space="preserve"> éléments constitutifs et son statut, l'état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71FD">
        <w:rPr>
          <w:rFonts w:ascii="Traditional Arabic" w:hAnsi="Traditional Arabic" w:cs="Traditional Arabic"/>
          <w:sz w:val="36"/>
          <w:szCs w:val="36"/>
        </w:rPr>
        <w:t>est une entité juridique formée de la réunion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71FD">
        <w:rPr>
          <w:rFonts w:ascii="Traditional Arabic" w:hAnsi="Traditional Arabic" w:cs="Traditional Arabic"/>
          <w:sz w:val="36"/>
          <w:szCs w:val="36"/>
        </w:rPr>
        <w:t>de ceux-ci. C'est également une personne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71FD">
        <w:rPr>
          <w:rFonts w:ascii="Traditional Arabic" w:hAnsi="Traditional Arabic" w:cs="Traditional Arabic"/>
          <w:sz w:val="36"/>
          <w:szCs w:val="36"/>
        </w:rPr>
        <w:t>morale de droit public, territoriale et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71FD">
        <w:rPr>
          <w:rFonts w:ascii="Traditional Arabic" w:hAnsi="Traditional Arabic" w:cs="Traditional Arabic"/>
          <w:sz w:val="36"/>
          <w:szCs w:val="36"/>
        </w:rPr>
        <w:t>souveraine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507F8E" w:rsidRDefault="00507F8E" w:rsidP="00507F8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171F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ديباجة: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(القانون الدولي العام) نص تمهدي لمعاهدة، يتضم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تعداد الأطراف المتعاقدة،محل هذه المعاهدة وعرض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شاملا لأسبابها.</w:t>
      </w:r>
    </w:p>
    <w:p w:rsidR="00507F8E" w:rsidRPr="00B230B6" w:rsidRDefault="00507F8E" w:rsidP="00507F8E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B230B6">
        <w:rPr>
          <w:rFonts w:ascii="Traditional Arabic" w:hAnsi="Traditional Arabic" w:cs="Traditional Arabic"/>
          <w:b/>
          <w:bCs/>
          <w:sz w:val="36"/>
          <w:szCs w:val="36"/>
        </w:rPr>
        <w:t>PREAMBULE</w:t>
      </w:r>
      <w:r w:rsidRPr="00B230B6">
        <w:rPr>
          <w:rFonts w:ascii="Traditional Arabic" w:hAnsi="Traditional Arabic" w:cs="Traditional Arabic"/>
          <w:sz w:val="36"/>
          <w:szCs w:val="36"/>
        </w:rPr>
        <w:t xml:space="preserve"> (dr. int. pub.)</w:t>
      </w:r>
    </w:p>
    <w:p w:rsidR="00507F8E" w:rsidRDefault="00507F8E" w:rsidP="00507F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30B6">
        <w:rPr>
          <w:rFonts w:ascii="Traditional Arabic" w:hAnsi="Traditional Arabic" w:cs="Traditional Arabic"/>
          <w:sz w:val="36"/>
          <w:szCs w:val="36"/>
        </w:rPr>
        <w:t>Dans un traité, texte préliminaire énumérant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B230B6">
        <w:rPr>
          <w:rFonts w:ascii="Traditional Arabic" w:hAnsi="Traditional Arabic" w:cs="Traditional Arabic"/>
          <w:sz w:val="36"/>
          <w:szCs w:val="36"/>
        </w:rPr>
        <w:t>les parties contractantes, l'objet du traité, et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B230B6">
        <w:rPr>
          <w:rFonts w:ascii="Traditional Arabic" w:hAnsi="Traditional Arabic" w:cs="Traditional Arabic"/>
          <w:sz w:val="36"/>
          <w:szCs w:val="36"/>
        </w:rPr>
        <w:t>l'exposé des motifs de celui-ci.</w:t>
      </w:r>
    </w:p>
    <w:p w:rsidR="00507F8E" w:rsidRDefault="00507F8E" w:rsidP="00507F8E">
      <w:pPr>
        <w:bidi/>
        <w:jc w:val="both"/>
        <w:rPr>
          <w:rFonts w:cs="Simplified Arabic"/>
          <w:b/>
          <w:bCs/>
          <w:sz w:val="28"/>
          <w:szCs w:val="28"/>
          <w:rtl/>
        </w:rPr>
      </w:pPr>
    </w:p>
    <w:p w:rsidR="000A0C1A" w:rsidRDefault="000A0C1A" w:rsidP="000A0C1A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96738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قانون الدولي العام: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(قانون عام) مجموعة القواعد القانونية المتعلقة بأشخاص المجتمع الدولي(دول منظمات دولية..)وهي كذلك مجموعة المعايير القانونية التي تنظم العلاقات الدولية.</w:t>
      </w:r>
    </w:p>
    <w:p w:rsidR="000A0C1A" w:rsidRPr="001F3817" w:rsidRDefault="000A0C1A" w:rsidP="000A0C1A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D1192F">
        <w:rPr>
          <w:rFonts w:ascii="Traditional Arabic" w:hAnsi="Traditional Arabic" w:cs="Traditional Arabic"/>
          <w:b/>
          <w:bCs/>
          <w:sz w:val="36"/>
          <w:szCs w:val="36"/>
        </w:rPr>
        <w:t>DROIT INTERNATIONAL PUBLIC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D1192F">
        <w:rPr>
          <w:rFonts w:ascii="Traditional Arabic" w:hAnsi="Traditional Arabic" w:cs="Traditional Arabic"/>
          <w:sz w:val="36"/>
          <w:szCs w:val="36"/>
        </w:rPr>
        <w:t>(dr. pub.)</w:t>
      </w:r>
    </w:p>
    <w:p w:rsidR="000A0C1A" w:rsidRDefault="000A0C1A" w:rsidP="000A0C1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1192F">
        <w:rPr>
          <w:rFonts w:ascii="Traditional Arabic" w:hAnsi="Traditional Arabic" w:cs="Traditional Arabic"/>
          <w:sz w:val="36"/>
          <w:szCs w:val="36"/>
        </w:rPr>
        <w:lastRenderedPageBreak/>
        <w:t>Ensemble des règles de droit qui s'appliquent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192F">
        <w:rPr>
          <w:rFonts w:ascii="Traditional Arabic" w:hAnsi="Traditional Arabic" w:cs="Traditional Arabic"/>
          <w:sz w:val="36"/>
          <w:szCs w:val="36"/>
        </w:rPr>
        <w:t>aux sujets</w:t>
      </w:r>
      <w:r>
        <w:rPr>
          <w:rFonts w:ascii="Traditional Arabic" w:hAnsi="Traditional Arabic" w:cs="Traditional Arabic"/>
          <w:sz w:val="36"/>
          <w:szCs w:val="36"/>
        </w:rPr>
        <w:t xml:space="preserve"> de la société internationale (E</w:t>
      </w:r>
      <w:r w:rsidRPr="00D1192F">
        <w:rPr>
          <w:rFonts w:ascii="Traditional Arabic" w:hAnsi="Traditional Arabic" w:cs="Traditional Arabic"/>
          <w:sz w:val="36"/>
          <w:szCs w:val="36"/>
        </w:rPr>
        <w:t>tats, organisations internationales...), aussi, c'est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192F">
        <w:rPr>
          <w:rFonts w:ascii="Traditional Arabic" w:hAnsi="Traditional Arabic" w:cs="Traditional Arabic"/>
          <w:sz w:val="36"/>
          <w:szCs w:val="36"/>
        </w:rPr>
        <w:t>l'ensemble des normes juridiques qui règlent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1192F">
        <w:rPr>
          <w:rFonts w:ascii="Traditional Arabic" w:hAnsi="Traditional Arabic" w:cs="Traditional Arabic"/>
          <w:sz w:val="36"/>
          <w:szCs w:val="36"/>
        </w:rPr>
        <w:t>les relations internationales.</w:t>
      </w:r>
    </w:p>
    <w:p w:rsidR="000A0C1A" w:rsidRDefault="000A0C1A" w:rsidP="000A0C1A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0A0C1A" w:rsidRPr="00E76ACC" w:rsidRDefault="000A0C1A" w:rsidP="000A0C1A">
      <w:pPr>
        <w:bidi/>
        <w:jc w:val="both"/>
        <w:rPr>
          <w:rFonts w:cs="Simplified Arabic"/>
          <w:szCs w:val="24"/>
          <w:rtl/>
          <w:lang w:bidi="ar-DZ"/>
        </w:rPr>
      </w:pPr>
    </w:p>
    <w:p w:rsidR="00507F8E" w:rsidRDefault="00507F8E" w:rsidP="00507F8E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507F8E" w:rsidRPr="00E76ACC" w:rsidRDefault="00507F8E" w:rsidP="00507F8E">
      <w:pPr>
        <w:bidi/>
        <w:jc w:val="both"/>
        <w:rPr>
          <w:rFonts w:cs="Simplified Arabic"/>
          <w:szCs w:val="24"/>
          <w:rtl/>
          <w:lang w:bidi="ar-DZ"/>
        </w:rPr>
      </w:pPr>
    </w:p>
    <w:p w:rsidR="000901D5" w:rsidRPr="00E76ACC" w:rsidRDefault="000901D5" w:rsidP="000901D5">
      <w:pPr>
        <w:bidi/>
        <w:jc w:val="both"/>
        <w:rPr>
          <w:rFonts w:cs="Simplified Arabic"/>
          <w:szCs w:val="24"/>
          <w:rtl/>
          <w:lang w:bidi="ar-DZ"/>
        </w:rPr>
      </w:pPr>
    </w:p>
    <w:sectPr w:rsidR="000901D5" w:rsidRPr="00E76ACC" w:rsidSect="009925E0">
      <w:footerReference w:type="default" r:id="rId8"/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A15" w:rsidRDefault="00477A15" w:rsidP="00190D88">
      <w:r>
        <w:separator/>
      </w:r>
    </w:p>
  </w:endnote>
  <w:endnote w:type="continuationSeparator" w:id="1">
    <w:p w:rsidR="00477A15" w:rsidRDefault="00477A15" w:rsidP="0019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660863"/>
      <w:docPartObj>
        <w:docPartGallery w:val="Page Numbers (Bottom of Page)"/>
        <w:docPartUnique/>
      </w:docPartObj>
    </w:sdtPr>
    <w:sdtContent>
      <w:p w:rsidR="00A00DBB" w:rsidRDefault="001E1A3B">
        <w:pPr>
          <w:pStyle w:val="Pieddepage"/>
        </w:pPr>
        <w:r>
          <w:rPr>
            <w:noProof/>
          </w:rPr>
          <w:fldChar w:fldCharType="begin"/>
        </w:r>
        <w:r w:rsidR="0009177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0C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BB" w:rsidRDefault="00A00D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A15" w:rsidRDefault="00477A15" w:rsidP="00190D88">
      <w:r>
        <w:separator/>
      </w:r>
    </w:p>
  </w:footnote>
  <w:footnote w:type="continuationSeparator" w:id="1">
    <w:p w:rsidR="00477A15" w:rsidRDefault="00477A15" w:rsidP="00190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A28A9"/>
    <w:multiLevelType w:val="hybridMultilevel"/>
    <w:tmpl w:val="EA04349C"/>
    <w:lvl w:ilvl="0" w:tplc="72021C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0AF3"/>
    <w:multiLevelType w:val="hybridMultilevel"/>
    <w:tmpl w:val="BE5EADA0"/>
    <w:lvl w:ilvl="0" w:tplc="5E3CC00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06C"/>
    <w:rsid w:val="00011794"/>
    <w:rsid w:val="00013419"/>
    <w:rsid w:val="00013B9A"/>
    <w:rsid w:val="00015741"/>
    <w:rsid w:val="000359FC"/>
    <w:rsid w:val="000506A3"/>
    <w:rsid w:val="000507D7"/>
    <w:rsid w:val="00060987"/>
    <w:rsid w:val="000705D9"/>
    <w:rsid w:val="000901D5"/>
    <w:rsid w:val="00091777"/>
    <w:rsid w:val="000A0C1A"/>
    <w:rsid w:val="000A126E"/>
    <w:rsid w:val="000B0A51"/>
    <w:rsid w:val="000B60D7"/>
    <w:rsid w:val="000C4650"/>
    <w:rsid w:val="000D4E9A"/>
    <w:rsid w:val="000F27AD"/>
    <w:rsid w:val="000F348F"/>
    <w:rsid w:val="000F64E4"/>
    <w:rsid w:val="00101093"/>
    <w:rsid w:val="001052AE"/>
    <w:rsid w:val="00105E4A"/>
    <w:rsid w:val="00117CDC"/>
    <w:rsid w:val="00130FA9"/>
    <w:rsid w:val="00140545"/>
    <w:rsid w:val="00145665"/>
    <w:rsid w:val="00150184"/>
    <w:rsid w:val="00156EA6"/>
    <w:rsid w:val="00161818"/>
    <w:rsid w:val="0017166E"/>
    <w:rsid w:val="001828B5"/>
    <w:rsid w:val="00190D88"/>
    <w:rsid w:val="001C3165"/>
    <w:rsid w:val="001D03CD"/>
    <w:rsid w:val="001D0683"/>
    <w:rsid w:val="001D3C18"/>
    <w:rsid w:val="001E1A3B"/>
    <w:rsid w:val="001E2600"/>
    <w:rsid w:val="002002C2"/>
    <w:rsid w:val="0020320A"/>
    <w:rsid w:val="002042A0"/>
    <w:rsid w:val="002069D1"/>
    <w:rsid w:val="00225C74"/>
    <w:rsid w:val="002462C7"/>
    <w:rsid w:val="00260385"/>
    <w:rsid w:val="0026796E"/>
    <w:rsid w:val="00284C00"/>
    <w:rsid w:val="00292536"/>
    <w:rsid w:val="002A5CF6"/>
    <w:rsid w:val="002B7A47"/>
    <w:rsid w:val="002C4504"/>
    <w:rsid w:val="002D6365"/>
    <w:rsid w:val="002E654A"/>
    <w:rsid w:val="002F0183"/>
    <w:rsid w:val="002F0293"/>
    <w:rsid w:val="002F09E8"/>
    <w:rsid w:val="00302A37"/>
    <w:rsid w:val="003121E1"/>
    <w:rsid w:val="003135FD"/>
    <w:rsid w:val="00323F67"/>
    <w:rsid w:val="00335163"/>
    <w:rsid w:val="0033773D"/>
    <w:rsid w:val="003408AB"/>
    <w:rsid w:val="003452D0"/>
    <w:rsid w:val="00346C16"/>
    <w:rsid w:val="003475BD"/>
    <w:rsid w:val="00351E2F"/>
    <w:rsid w:val="00353A86"/>
    <w:rsid w:val="00366952"/>
    <w:rsid w:val="0038646F"/>
    <w:rsid w:val="003C7F4A"/>
    <w:rsid w:val="003D7553"/>
    <w:rsid w:val="003E10F7"/>
    <w:rsid w:val="003F7093"/>
    <w:rsid w:val="00420280"/>
    <w:rsid w:val="004212F3"/>
    <w:rsid w:val="00457328"/>
    <w:rsid w:val="00461BD0"/>
    <w:rsid w:val="00477A15"/>
    <w:rsid w:val="004871C9"/>
    <w:rsid w:val="00496E32"/>
    <w:rsid w:val="004A300F"/>
    <w:rsid w:val="004A3B95"/>
    <w:rsid w:val="004A5898"/>
    <w:rsid w:val="004B0B50"/>
    <w:rsid w:val="004C2380"/>
    <w:rsid w:val="004C5A49"/>
    <w:rsid w:val="004E2E36"/>
    <w:rsid w:val="004F049B"/>
    <w:rsid w:val="004F48F7"/>
    <w:rsid w:val="004F55A2"/>
    <w:rsid w:val="004F7A46"/>
    <w:rsid w:val="00507F8E"/>
    <w:rsid w:val="00514C5F"/>
    <w:rsid w:val="00523184"/>
    <w:rsid w:val="00556A42"/>
    <w:rsid w:val="00573250"/>
    <w:rsid w:val="0057572C"/>
    <w:rsid w:val="00575758"/>
    <w:rsid w:val="005875EE"/>
    <w:rsid w:val="00597C4E"/>
    <w:rsid w:val="005B2F36"/>
    <w:rsid w:val="005C03E4"/>
    <w:rsid w:val="005C6C68"/>
    <w:rsid w:val="006024FD"/>
    <w:rsid w:val="00610AE0"/>
    <w:rsid w:val="00627C0C"/>
    <w:rsid w:val="00644CF2"/>
    <w:rsid w:val="00647299"/>
    <w:rsid w:val="006514E0"/>
    <w:rsid w:val="006624BE"/>
    <w:rsid w:val="00664C31"/>
    <w:rsid w:val="0068397D"/>
    <w:rsid w:val="00695AEB"/>
    <w:rsid w:val="0069620E"/>
    <w:rsid w:val="006A1A66"/>
    <w:rsid w:val="006A1E09"/>
    <w:rsid w:val="006C0E9B"/>
    <w:rsid w:val="006E106C"/>
    <w:rsid w:val="006F4484"/>
    <w:rsid w:val="006F5CAE"/>
    <w:rsid w:val="00701856"/>
    <w:rsid w:val="007145DC"/>
    <w:rsid w:val="00717DAF"/>
    <w:rsid w:val="0074644E"/>
    <w:rsid w:val="00746BA9"/>
    <w:rsid w:val="0076675A"/>
    <w:rsid w:val="00792C1A"/>
    <w:rsid w:val="007C3F0E"/>
    <w:rsid w:val="007F4447"/>
    <w:rsid w:val="0082325C"/>
    <w:rsid w:val="0085583F"/>
    <w:rsid w:val="00855A6F"/>
    <w:rsid w:val="008620F4"/>
    <w:rsid w:val="008657B0"/>
    <w:rsid w:val="0087532A"/>
    <w:rsid w:val="008A16E3"/>
    <w:rsid w:val="008A17DD"/>
    <w:rsid w:val="008B2106"/>
    <w:rsid w:val="008B7097"/>
    <w:rsid w:val="008B7816"/>
    <w:rsid w:val="009136EB"/>
    <w:rsid w:val="00914CC2"/>
    <w:rsid w:val="00917041"/>
    <w:rsid w:val="0092369D"/>
    <w:rsid w:val="00930447"/>
    <w:rsid w:val="00934183"/>
    <w:rsid w:val="009419E6"/>
    <w:rsid w:val="00944CF6"/>
    <w:rsid w:val="009520ED"/>
    <w:rsid w:val="00962E49"/>
    <w:rsid w:val="00975D09"/>
    <w:rsid w:val="009856C7"/>
    <w:rsid w:val="009925E0"/>
    <w:rsid w:val="0099384A"/>
    <w:rsid w:val="009A589B"/>
    <w:rsid w:val="009B3129"/>
    <w:rsid w:val="009B4349"/>
    <w:rsid w:val="009B580B"/>
    <w:rsid w:val="009C52E4"/>
    <w:rsid w:val="009D3F4D"/>
    <w:rsid w:val="009E37A4"/>
    <w:rsid w:val="009F6729"/>
    <w:rsid w:val="009F69FD"/>
    <w:rsid w:val="009F74B2"/>
    <w:rsid w:val="009F7C10"/>
    <w:rsid w:val="00A00DBB"/>
    <w:rsid w:val="00A0284B"/>
    <w:rsid w:val="00A03C87"/>
    <w:rsid w:val="00A27EEB"/>
    <w:rsid w:val="00A33455"/>
    <w:rsid w:val="00A34C35"/>
    <w:rsid w:val="00A36FA7"/>
    <w:rsid w:val="00A43425"/>
    <w:rsid w:val="00A45FB7"/>
    <w:rsid w:val="00A5329E"/>
    <w:rsid w:val="00A601D4"/>
    <w:rsid w:val="00A64647"/>
    <w:rsid w:val="00A707C8"/>
    <w:rsid w:val="00A80E4B"/>
    <w:rsid w:val="00A858D4"/>
    <w:rsid w:val="00A86FFB"/>
    <w:rsid w:val="00AB1C3D"/>
    <w:rsid w:val="00AB516B"/>
    <w:rsid w:val="00AC0229"/>
    <w:rsid w:val="00AC0A24"/>
    <w:rsid w:val="00AD381F"/>
    <w:rsid w:val="00AD7956"/>
    <w:rsid w:val="00AD7C3F"/>
    <w:rsid w:val="00B1107D"/>
    <w:rsid w:val="00B160FB"/>
    <w:rsid w:val="00B36418"/>
    <w:rsid w:val="00B844B8"/>
    <w:rsid w:val="00BA0BE5"/>
    <w:rsid w:val="00BA3252"/>
    <w:rsid w:val="00BB0227"/>
    <w:rsid w:val="00BC5710"/>
    <w:rsid w:val="00BD75A9"/>
    <w:rsid w:val="00BE4F0F"/>
    <w:rsid w:val="00BE544D"/>
    <w:rsid w:val="00BF0D50"/>
    <w:rsid w:val="00C22A18"/>
    <w:rsid w:val="00C25400"/>
    <w:rsid w:val="00C349F3"/>
    <w:rsid w:val="00C439C3"/>
    <w:rsid w:val="00C474E1"/>
    <w:rsid w:val="00C67991"/>
    <w:rsid w:val="00C67D01"/>
    <w:rsid w:val="00C71AFB"/>
    <w:rsid w:val="00C72360"/>
    <w:rsid w:val="00C75A58"/>
    <w:rsid w:val="00C94C79"/>
    <w:rsid w:val="00C9704D"/>
    <w:rsid w:val="00CB174F"/>
    <w:rsid w:val="00CB3001"/>
    <w:rsid w:val="00CC3115"/>
    <w:rsid w:val="00CD039D"/>
    <w:rsid w:val="00CD0F87"/>
    <w:rsid w:val="00CF1053"/>
    <w:rsid w:val="00CF417E"/>
    <w:rsid w:val="00D011B5"/>
    <w:rsid w:val="00D0305C"/>
    <w:rsid w:val="00D1367B"/>
    <w:rsid w:val="00D17FFD"/>
    <w:rsid w:val="00D265BD"/>
    <w:rsid w:val="00D36E65"/>
    <w:rsid w:val="00D47053"/>
    <w:rsid w:val="00D47999"/>
    <w:rsid w:val="00D60F90"/>
    <w:rsid w:val="00D846B5"/>
    <w:rsid w:val="00D85A65"/>
    <w:rsid w:val="00DA14B4"/>
    <w:rsid w:val="00DB2A23"/>
    <w:rsid w:val="00DB63E4"/>
    <w:rsid w:val="00DD0379"/>
    <w:rsid w:val="00E26A9D"/>
    <w:rsid w:val="00E42108"/>
    <w:rsid w:val="00E6251B"/>
    <w:rsid w:val="00E75F09"/>
    <w:rsid w:val="00E76ACC"/>
    <w:rsid w:val="00EA2327"/>
    <w:rsid w:val="00EA35CA"/>
    <w:rsid w:val="00EB1D0F"/>
    <w:rsid w:val="00EC31C6"/>
    <w:rsid w:val="00ED20E6"/>
    <w:rsid w:val="00EF3586"/>
    <w:rsid w:val="00EF69B4"/>
    <w:rsid w:val="00EF7154"/>
    <w:rsid w:val="00F223AF"/>
    <w:rsid w:val="00F273F2"/>
    <w:rsid w:val="00F56320"/>
    <w:rsid w:val="00F6223B"/>
    <w:rsid w:val="00F62C7B"/>
    <w:rsid w:val="00F879D3"/>
    <w:rsid w:val="00F97289"/>
    <w:rsid w:val="00FC1486"/>
    <w:rsid w:val="00FE01FF"/>
    <w:rsid w:val="00FE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88"/>
    <w:pPr>
      <w:jc w:val="right"/>
    </w:pPr>
    <w:rPr>
      <w:rFonts w:ascii="Simplified Arabic" w:hAnsi="Simplified Arabic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90D8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90D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0D88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BD75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D75A9"/>
    <w:rPr>
      <w:rFonts w:ascii="Simplified Arabic" w:hAnsi="Simplified Arabic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D7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5A9"/>
    <w:rPr>
      <w:rFonts w:ascii="Simplified Arabic" w:hAnsi="Simplified Arabic"/>
      <w:sz w:val="24"/>
    </w:rPr>
  </w:style>
  <w:style w:type="character" w:styleId="Lienhypertexte">
    <w:name w:val="Hyperlink"/>
    <w:basedOn w:val="Policepardfaut"/>
    <w:uiPriority w:val="99"/>
    <w:unhideWhenUsed/>
    <w:rsid w:val="009304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3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CD039D"/>
    <w:rPr>
      <w:b/>
      <w:bCs/>
    </w:rPr>
  </w:style>
  <w:style w:type="paragraph" w:styleId="Paragraphedeliste">
    <w:name w:val="List Paragraph"/>
    <w:basedOn w:val="Normal"/>
    <w:uiPriority w:val="34"/>
    <w:qFormat/>
    <w:rsid w:val="009B4349"/>
    <w:pPr>
      <w:ind w:left="720"/>
      <w:contextualSpacing/>
    </w:pPr>
  </w:style>
  <w:style w:type="paragraph" w:customStyle="1" w:styleId="id5">
    <w:name w:val="id5"/>
    <w:basedOn w:val="Normal"/>
    <w:rsid w:val="006A1E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C77BB-19C2-4F10-9BC5-4D2EBE15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a</cp:lastModifiedBy>
  <cp:revision>133</cp:revision>
  <dcterms:created xsi:type="dcterms:W3CDTF">2020-12-07T12:50:00Z</dcterms:created>
  <dcterms:modified xsi:type="dcterms:W3CDTF">2023-04-07T08:25:00Z</dcterms:modified>
</cp:coreProperties>
</file>