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83" w:rsidRDefault="00934183" w:rsidP="00B57431">
      <w:p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</w:p>
    <w:p w:rsidR="009F6DD5" w:rsidRPr="00507800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B850D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بطلان: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 </w:t>
      </w:r>
      <w:r>
        <w:rPr>
          <w:rFonts w:ascii="Traditional Arabic" w:hAnsi="Traditional Arabic" w:cs="Traditional Arabic" w:hint="cs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بطلان بصفة عامة هو الجزاء الذي فرضه القانون على عدم توفر ركن من أركان العقد أو شرط من شروط صحته وهو عبارة عن انعدام أثره بالنسبة إلى الماضي أو المستقبل.</w:t>
      </w:r>
      <w:r>
        <w:t xml:space="preserve"> </w:t>
      </w:r>
    </w:p>
    <w:p w:rsidR="009F6DD5" w:rsidRPr="00507800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507800">
        <w:rPr>
          <w:rFonts w:ascii="Traditional Arabic" w:hAnsi="Traditional Arabic" w:cs="Traditional Arabic"/>
          <w:sz w:val="36"/>
          <w:szCs w:val="36"/>
        </w:rPr>
        <w:t>NULLITE (dr. civ.)</w:t>
      </w:r>
    </w:p>
    <w:p w:rsidR="009F6DD5" w:rsidRPr="00D87C9F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07800">
        <w:rPr>
          <w:rFonts w:ascii="Traditional Arabic" w:hAnsi="Traditional Arabic" w:cs="Traditional Arabic"/>
          <w:sz w:val="36"/>
          <w:szCs w:val="36"/>
        </w:rPr>
        <w:t>Sanction qui anéantit un acte juridique pour le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07800">
        <w:rPr>
          <w:rFonts w:ascii="Traditional Arabic" w:hAnsi="Traditional Arabic" w:cs="Traditional Arabic"/>
          <w:sz w:val="36"/>
          <w:szCs w:val="36"/>
        </w:rPr>
        <w:t xml:space="preserve">passé comme pour l'avenir. </w:t>
      </w:r>
    </w:p>
    <w:p w:rsidR="009F6DD5" w:rsidRPr="003A127C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7356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تبذير، إسراف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 السف</w:t>
      </w:r>
      <w:r>
        <w:rPr>
          <w:rFonts w:ascii="Traditional Arabic" w:hAnsi="Traditional Arabic" w:cs="Traditional Arabic" w:hint="eastAsia"/>
          <w:b/>
          <w:bCs/>
          <w:sz w:val="36"/>
          <w:szCs w:val="36"/>
          <w:rtl/>
          <w:lang w:bidi="ar-DZ"/>
        </w:rPr>
        <w:t>ه</w:t>
      </w:r>
      <w:r w:rsidRPr="007356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 هو أن يقوم شخص بإسراف وتبذير أمواله وذلك بالإنفاق الاعتيادي لمبالغ غ</w:t>
      </w:r>
      <w:r>
        <w:rPr>
          <w:rFonts w:ascii="Traditional Arabic" w:hAnsi="Traditional Arabic" w:cs="Traditional Arabic" w:hint="cs"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معقولة بدافع قصوره الذهني.يمكن أن يستفيد السفيه من نظام التقديم لحمايته من تصرفاته.</w:t>
      </w:r>
    </w:p>
    <w:p w:rsidR="009F6DD5" w:rsidRPr="003A127C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3A127C">
        <w:rPr>
          <w:rFonts w:ascii="Traditional Arabic" w:hAnsi="Traditional Arabic" w:cs="Traditional Arabic"/>
          <w:sz w:val="36"/>
          <w:szCs w:val="36"/>
        </w:rPr>
        <w:t>PRODIGALITE (dr. civ.)</w:t>
      </w:r>
    </w:p>
    <w:p w:rsidR="009F6DD5" w:rsidRPr="003A127C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3A127C">
        <w:rPr>
          <w:rFonts w:ascii="Traditional Arabic" w:hAnsi="Traditional Arabic" w:cs="Traditional Arabic"/>
          <w:sz w:val="36"/>
          <w:szCs w:val="36"/>
        </w:rPr>
        <w:t>Fait pour une personne de gaspiller et de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A127C">
        <w:rPr>
          <w:rFonts w:ascii="Traditional Arabic" w:hAnsi="Traditional Arabic" w:cs="Traditional Arabic"/>
          <w:sz w:val="36"/>
          <w:szCs w:val="36"/>
        </w:rPr>
        <w:t xml:space="preserve">dissiper son patrimoine en dépensant habituellement des sommes déraisonnables </w:t>
      </w:r>
      <w:r>
        <w:rPr>
          <w:rFonts w:ascii="Traditional Arabic" w:hAnsi="Traditional Arabic" w:cs="Traditional Arabic"/>
          <w:sz w:val="36"/>
          <w:szCs w:val="36"/>
        </w:rPr>
        <w:t>et ce</w:t>
      </w:r>
      <w:r w:rsidRPr="003A127C">
        <w:rPr>
          <w:rFonts w:ascii="Traditional Arabic" w:hAnsi="Traditional Arabic" w:cs="Traditional Arabic"/>
          <w:sz w:val="36"/>
          <w:szCs w:val="36"/>
        </w:rPr>
        <w:t>,</w:t>
      </w:r>
      <w:r>
        <w:rPr>
          <w:rFonts w:ascii="Traditional Arabic" w:hAnsi="Traditional Arabic" w:cs="Traditional Arabic"/>
          <w:sz w:val="36"/>
          <w:szCs w:val="36"/>
        </w:rPr>
        <w:t>  E</w:t>
      </w:r>
      <w:r w:rsidRPr="003A127C">
        <w:rPr>
          <w:rFonts w:ascii="Traditional Arabic" w:hAnsi="Traditional Arabic" w:cs="Traditional Arabic"/>
          <w:sz w:val="36"/>
          <w:szCs w:val="36"/>
        </w:rPr>
        <w:t>n raison de déficiences psychiques.</w:t>
      </w:r>
    </w:p>
    <w:p w:rsidR="009F6DD5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A127C">
        <w:rPr>
          <w:rFonts w:ascii="Traditional Arabic" w:hAnsi="Traditional Arabic" w:cs="Traditional Arabic"/>
          <w:sz w:val="36"/>
          <w:szCs w:val="36"/>
        </w:rPr>
        <w:t>Pour sa protection, le prodigue peut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A127C">
        <w:rPr>
          <w:rFonts w:ascii="Traditional Arabic" w:hAnsi="Traditional Arabic" w:cs="Traditional Arabic"/>
          <w:sz w:val="36"/>
          <w:szCs w:val="36"/>
        </w:rPr>
        <w:t>bénéficier de la curatelle.</w:t>
      </w:r>
    </w:p>
    <w:p w:rsidR="009F6DD5" w:rsidRPr="0027208F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3A127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تدليس: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(لقانون المدني) يدعى تدليسا الطرق الاحتيالية، الخداع الكذب،التكتم،التي يستعملها شخص لخداع شخص آخر بمناسبة عقد.</w:t>
      </w:r>
    </w:p>
    <w:p w:rsidR="009F6DD5" w:rsidRPr="0027208F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27208F">
        <w:rPr>
          <w:rFonts w:ascii="Traditional Arabic" w:hAnsi="Traditional Arabic" w:cs="Traditional Arabic"/>
          <w:sz w:val="36"/>
          <w:szCs w:val="36"/>
        </w:rPr>
        <w:t>DOL (dr. civ.)</w:t>
      </w:r>
    </w:p>
    <w:p w:rsidR="009F6DD5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27208F">
        <w:rPr>
          <w:rFonts w:ascii="Traditional Arabic" w:hAnsi="Traditional Arabic" w:cs="Traditional Arabic"/>
          <w:sz w:val="36"/>
          <w:szCs w:val="36"/>
        </w:rPr>
        <w:t>On appelle dol les manœuvres frauduleuses, tromperies, mensonges, réticences, dont une personne use pour tromper une autre à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7208F">
        <w:rPr>
          <w:rFonts w:ascii="Traditional Arabic" w:hAnsi="Traditional Arabic" w:cs="Traditional Arabic"/>
          <w:sz w:val="36"/>
          <w:szCs w:val="36"/>
        </w:rPr>
        <w:t>l'occasion d'un contrat.</w:t>
      </w:r>
    </w:p>
    <w:p w:rsidR="009F6DD5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تدليس،</w:t>
      </w:r>
      <w:r w:rsidRPr="0027208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خدا</w:t>
      </w:r>
      <w:r w:rsidRPr="0027208F">
        <w:rPr>
          <w:rFonts w:ascii="Traditional Arabic" w:hAnsi="Traditional Arabic" w:cs="Traditional Arabic" w:hint="eastAsia"/>
          <w:b/>
          <w:bCs/>
          <w:sz w:val="36"/>
          <w:szCs w:val="36"/>
          <w:rtl/>
          <w:lang w:bidi="ar-DZ"/>
        </w:rPr>
        <w:t>ع</w:t>
      </w:r>
      <w:r w:rsidRPr="0027208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،غش،احت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ي</w:t>
      </w:r>
      <w:r w:rsidRPr="0027208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                                                    </w:t>
      </w:r>
      <w:r>
        <w:rPr>
          <w:rFonts w:ascii="Traditional Arabic" w:hAnsi="Traditional Arabic" w:cs="Traditional Arabic"/>
          <w:sz w:val="36"/>
          <w:szCs w:val="36"/>
        </w:rPr>
        <w:t xml:space="preserve">FRAUDE </w:t>
      </w:r>
    </w:p>
    <w:p w:rsidR="009F6DD5" w:rsidRPr="00460F67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2B3E4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تفتيش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:(الإجراءات الجنائية) هو القيام بالبحث في مسكن ما عن الأدلة التي من شأنها أن تدين صاحبه .</w:t>
      </w:r>
    </w:p>
    <w:p w:rsidR="009F6DD5" w:rsidRPr="00460F67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460F67">
        <w:rPr>
          <w:rFonts w:ascii="Traditional Arabic" w:hAnsi="Traditional Arabic" w:cs="Traditional Arabic"/>
          <w:sz w:val="36"/>
          <w:szCs w:val="36"/>
        </w:rPr>
        <w:t>PERQUISITION (pr. pen.)</w:t>
      </w:r>
    </w:p>
    <w:p w:rsidR="009F6DD5" w:rsidRPr="00460F67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60F67">
        <w:rPr>
          <w:rFonts w:ascii="Traditional Arabic" w:hAnsi="Traditional Arabic" w:cs="Traditional Arabic"/>
          <w:sz w:val="36"/>
          <w:szCs w:val="36"/>
        </w:rPr>
        <w:t>Recherche des éléments de preuve pouvant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60F67">
        <w:rPr>
          <w:rFonts w:ascii="Traditional Arabic" w:hAnsi="Traditional Arabic" w:cs="Traditional Arabic"/>
          <w:sz w:val="36"/>
          <w:szCs w:val="36"/>
        </w:rPr>
        <w:t>incriminer une personne et ce, à son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60F67">
        <w:rPr>
          <w:rFonts w:ascii="Traditional Arabic" w:hAnsi="Traditional Arabic" w:cs="Traditional Arabic"/>
          <w:sz w:val="36"/>
          <w:szCs w:val="36"/>
        </w:rPr>
        <w:t>domicile.</w:t>
      </w:r>
    </w:p>
    <w:p w:rsidR="009F6DD5" w:rsidRPr="000C6D0C" w:rsidRDefault="009F6DD5" w:rsidP="009F6DD5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460F6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تكييف: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(إجراءات عامة).هو ربط تصرف أو عقد قانوني،حالة قانونية أو وقائع قضية بمدلول أو فئة قانونية موجودة مسبقا.</w:t>
      </w:r>
    </w:p>
    <w:p w:rsidR="009F6DD5" w:rsidRPr="000C6D0C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0C6D0C">
        <w:rPr>
          <w:rFonts w:ascii="Traditional Arabic" w:hAnsi="Traditional Arabic" w:cs="Traditional Arabic"/>
          <w:sz w:val="36"/>
          <w:szCs w:val="36"/>
        </w:rPr>
        <w:t>QUAL</w:t>
      </w:r>
      <w:r>
        <w:rPr>
          <w:rFonts w:ascii="Traditional Arabic" w:hAnsi="Traditional Arabic" w:cs="Traditional Arabic"/>
          <w:sz w:val="36"/>
          <w:szCs w:val="36"/>
        </w:rPr>
        <w:t>IFICATION (pr. p</w:t>
      </w:r>
      <w:r w:rsidRPr="000C6D0C">
        <w:rPr>
          <w:rFonts w:ascii="Traditional Arabic" w:hAnsi="Traditional Arabic" w:cs="Traditional Arabic"/>
          <w:sz w:val="36"/>
          <w:szCs w:val="36"/>
        </w:rPr>
        <w:t>en.)</w:t>
      </w:r>
    </w:p>
    <w:p w:rsidR="009F6DD5" w:rsidRPr="000C6D0C" w:rsidRDefault="009F6DD5" w:rsidP="009F6DD5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0C6D0C">
        <w:rPr>
          <w:rFonts w:ascii="Traditional Arabic" w:hAnsi="Traditional Arabic" w:cs="Traditional Arabic"/>
          <w:sz w:val="36"/>
          <w:szCs w:val="36"/>
        </w:rPr>
        <w:t>Fait de rattacher un acte juridique, les faits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6D0C">
        <w:rPr>
          <w:rFonts w:ascii="Traditional Arabic" w:hAnsi="Traditional Arabic" w:cs="Traditional Arabic"/>
          <w:sz w:val="36"/>
          <w:szCs w:val="36"/>
        </w:rPr>
        <w:t>d'une affaire ou une situation juridique à un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6D0C">
        <w:rPr>
          <w:rFonts w:ascii="Traditional Arabic" w:hAnsi="Traditional Arabic" w:cs="Traditional Arabic"/>
          <w:sz w:val="36"/>
          <w:szCs w:val="36"/>
        </w:rPr>
        <w:t>concept ou une catégorie préalablement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6D0C">
        <w:rPr>
          <w:rFonts w:ascii="Traditional Arabic" w:hAnsi="Traditional Arabic" w:cs="Traditional Arabic"/>
          <w:sz w:val="36"/>
          <w:szCs w:val="36"/>
        </w:rPr>
        <w:t>existants.</w:t>
      </w:r>
    </w:p>
    <w:p w:rsidR="00CF45E9" w:rsidRPr="009F6DD5" w:rsidRDefault="00CF45E9" w:rsidP="00CF45E9">
      <w:pPr>
        <w:bidi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951EA1" w:rsidRDefault="00951EA1" w:rsidP="00951EA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C63F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عدم أهلية: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 عدم توفر الكفاءة الشرعية لدى شخص لكي يتمتع بانتفاع بحق أو مباشرته دون مساعدة شخص </w:t>
      </w:r>
      <w:r>
        <w:rPr>
          <w:rFonts w:ascii="Traditional Arabic" w:hAnsi="Traditional Arabic" w:cs="Traditional Arabic" w:hint="cs"/>
          <w:sz w:val="36"/>
          <w:szCs w:val="36"/>
          <w:rtl/>
        </w:rPr>
        <w:t>آ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خر مخول لذلك قانونا ونميز بين:</w:t>
      </w:r>
    </w:p>
    <w:p w:rsidR="00951EA1" w:rsidRDefault="00951EA1" w:rsidP="00951EA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-عدم أهلية الوجوب:حالة شخص غير أهل لأن تكون له حقوق.</w:t>
      </w:r>
    </w:p>
    <w:p w:rsidR="00951EA1" w:rsidRDefault="00951EA1" w:rsidP="00951EA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-عدم أهلية الأداء:حالة شخص متمتع بحق إلا أنه لا يمكن مباشرته له إلا من خلال ممثل شرعي</w:t>
      </w:r>
    </w:p>
    <w:p w:rsidR="00951EA1" w:rsidRDefault="00951EA1" w:rsidP="00951EA1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مثال: قاصر أو بالغ عديم الأهلية خاضع لنظام الوصاية.</w:t>
      </w:r>
    </w:p>
    <w:p w:rsidR="00951EA1" w:rsidRPr="00126915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126915">
        <w:rPr>
          <w:rFonts w:ascii="Traditional Arabic" w:hAnsi="Traditional Arabic" w:cs="Traditional Arabic"/>
          <w:sz w:val="36"/>
          <w:szCs w:val="36"/>
        </w:rPr>
        <w:t>INCAPACITE (dr. civ.)</w:t>
      </w:r>
    </w:p>
    <w:p w:rsidR="00951EA1" w:rsidRPr="00126915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126915">
        <w:rPr>
          <w:rFonts w:ascii="Traditional Arabic" w:hAnsi="Traditional Arabic" w:cs="Traditional Arabic"/>
          <w:sz w:val="36"/>
          <w:szCs w:val="36"/>
        </w:rPr>
        <w:t>Inaptitude légale pour une personne de jouir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26915">
        <w:rPr>
          <w:rFonts w:ascii="Traditional Arabic" w:hAnsi="Traditional Arabic" w:cs="Traditional Arabic"/>
          <w:sz w:val="36"/>
          <w:szCs w:val="36"/>
        </w:rPr>
        <w:t>d'un droit ou de l'exercer sans assistance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26915">
        <w:rPr>
          <w:rFonts w:ascii="Traditional Arabic" w:hAnsi="Traditional Arabic" w:cs="Traditional Arabic"/>
          <w:sz w:val="36"/>
          <w:szCs w:val="36"/>
        </w:rPr>
        <w:t>d'une autre personne habilitée par la loi ; on distingue :</w:t>
      </w:r>
    </w:p>
    <w:p w:rsidR="00951EA1" w:rsidRPr="00126915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126915">
        <w:rPr>
          <w:rFonts w:ascii="Traditional Arabic" w:hAnsi="Traditional Arabic" w:cs="Traditional Arabic"/>
          <w:sz w:val="36"/>
          <w:szCs w:val="36"/>
        </w:rPr>
        <w:t>- Incapacité de jouissance: état d'une personne inapte à être titulaire d'un ou plusieurs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26915">
        <w:rPr>
          <w:rFonts w:ascii="Traditional Arabic" w:hAnsi="Traditional Arabic" w:cs="Traditional Arabic"/>
          <w:sz w:val="36"/>
          <w:szCs w:val="36"/>
        </w:rPr>
        <w:t>droits.</w:t>
      </w:r>
    </w:p>
    <w:p w:rsidR="00951EA1" w:rsidRPr="00126915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-</w:t>
      </w:r>
      <w:r w:rsidRPr="00126915">
        <w:rPr>
          <w:rFonts w:ascii="Traditional Arabic" w:hAnsi="Traditional Arabic" w:cs="Traditional Arabic"/>
          <w:sz w:val="36"/>
          <w:szCs w:val="36"/>
        </w:rPr>
        <w:t>Incapacité d'exercice: cas d'une personne titulaire d'un droit mais ne pouvant l'exercer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26915">
        <w:rPr>
          <w:rFonts w:ascii="Traditional Arabic" w:hAnsi="Traditional Arabic" w:cs="Traditional Arabic"/>
          <w:sz w:val="36"/>
          <w:szCs w:val="36"/>
        </w:rPr>
        <w:t>que par l'intermédiaire d'un représentant légal</w:t>
      </w:r>
    </w:p>
    <w:p w:rsidR="00951EA1" w:rsidRPr="000C4362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26915">
        <w:rPr>
          <w:rFonts w:ascii="Traditional Arabic" w:hAnsi="Traditional Arabic" w:cs="Traditional Arabic"/>
          <w:sz w:val="36"/>
          <w:szCs w:val="36"/>
        </w:rPr>
        <w:t>Ex: Mineur ou incapable majeur placé sous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26915">
        <w:rPr>
          <w:rFonts w:ascii="Traditional Arabic" w:hAnsi="Traditional Arabic" w:cs="Traditional Arabic"/>
          <w:sz w:val="36"/>
          <w:szCs w:val="36"/>
        </w:rPr>
        <w:t>tutelle.</w:t>
      </w:r>
    </w:p>
    <w:p w:rsidR="00951EA1" w:rsidRPr="00B850DC" w:rsidRDefault="00951EA1" w:rsidP="003C0B6A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E1487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بطلان: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(القانون المدني) صفة يتسم بها تصرف أو عقد قانوني زال أثره بسبب حدوث واقعة جديدة جعلته غير فعال.مثال:تعتبر الهبة باطلة إذ توفي الموهوب له قبل الواهب.</w:t>
      </w:r>
    </w:p>
    <w:p w:rsidR="00951EA1" w:rsidRPr="00B850DC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B850DC">
        <w:rPr>
          <w:rFonts w:ascii="Traditional Arabic" w:hAnsi="Traditional Arabic" w:cs="Traditional Arabic"/>
          <w:sz w:val="36"/>
          <w:szCs w:val="36"/>
        </w:rPr>
        <w:t>CADUCITE (dr. civ.)</w:t>
      </w:r>
    </w:p>
    <w:p w:rsidR="00951EA1" w:rsidRPr="00B850DC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B850DC">
        <w:rPr>
          <w:rFonts w:ascii="Traditional Arabic" w:hAnsi="Traditional Arabic" w:cs="Traditional Arabic"/>
          <w:sz w:val="36"/>
          <w:szCs w:val="36"/>
        </w:rPr>
        <w:t>Etat d'un acte juridique dont l'effet est éteint en raison de la</w:t>
      </w:r>
      <w:r>
        <w:rPr>
          <w:rFonts w:ascii="Traditional Arabic" w:hAnsi="Traditional Arabic" w:cs="Traditional Arabic"/>
          <w:sz w:val="36"/>
          <w:szCs w:val="36"/>
        </w:rPr>
        <w:t xml:space="preserve"> s</w:t>
      </w:r>
      <w:r w:rsidRPr="00B850DC">
        <w:rPr>
          <w:rFonts w:ascii="Traditional Arabic" w:hAnsi="Traditional Arabic" w:cs="Traditional Arabic"/>
          <w:sz w:val="36"/>
          <w:szCs w:val="36"/>
        </w:rPr>
        <w:t>urvenance d'un fait nouveau qui l'a rendu inefficace.</w:t>
      </w:r>
    </w:p>
    <w:p w:rsidR="00951EA1" w:rsidRPr="00B850DC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B850DC">
        <w:rPr>
          <w:rFonts w:ascii="Traditional Arabic" w:hAnsi="Traditional Arabic" w:cs="Traditional Arabic"/>
          <w:sz w:val="36"/>
          <w:szCs w:val="36"/>
        </w:rPr>
        <w:lastRenderedPageBreak/>
        <w:t>Exemple : La donation est dite "Caduque" si le donataire</w:t>
      </w:r>
    </w:p>
    <w:p w:rsidR="00951EA1" w:rsidRPr="003B2D14" w:rsidRDefault="00951EA1" w:rsidP="00951EA1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850DC">
        <w:rPr>
          <w:rFonts w:ascii="Traditional Arabic" w:hAnsi="Traditional Arabic" w:cs="Traditional Arabic"/>
          <w:sz w:val="36"/>
          <w:szCs w:val="36"/>
        </w:rPr>
        <w:t>meurt avant le donateur.</w:t>
      </w:r>
    </w:p>
    <w:p w:rsidR="00951EA1" w:rsidRPr="00E76ACC" w:rsidRDefault="00951EA1" w:rsidP="00951EA1">
      <w:pPr>
        <w:bidi/>
        <w:jc w:val="both"/>
        <w:rPr>
          <w:rFonts w:cs="Simplified Arabic"/>
          <w:szCs w:val="24"/>
          <w:rtl/>
          <w:lang w:bidi="ar-DZ"/>
        </w:rPr>
      </w:pPr>
    </w:p>
    <w:p w:rsidR="00C67D01" w:rsidRDefault="00CF45E9" w:rsidP="00CC1A2B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:rsidR="00CC1A2B" w:rsidRDefault="00CC1A2B" w:rsidP="00CC1A2B">
      <w:pPr>
        <w:bidi/>
        <w:rPr>
          <w:rFonts w:cs="Simplified Arabic"/>
          <w:sz w:val="28"/>
          <w:szCs w:val="28"/>
          <w:lang w:bidi="ar-DZ"/>
        </w:rPr>
      </w:pPr>
    </w:p>
    <w:p w:rsidR="00FE7BFA" w:rsidRPr="00E76ACC" w:rsidRDefault="00FE7BFA" w:rsidP="00FE7BFA">
      <w:pPr>
        <w:bidi/>
        <w:jc w:val="both"/>
        <w:rPr>
          <w:rFonts w:cs="Simplified Arabic"/>
          <w:szCs w:val="24"/>
          <w:rtl/>
          <w:lang w:bidi="ar-DZ"/>
        </w:rPr>
      </w:pPr>
    </w:p>
    <w:sectPr w:rsidR="00FE7BFA" w:rsidRPr="00E76ACC" w:rsidSect="009925E0">
      <w:footerReference w:type="default" r:id="rId8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8D" w:rsidRDefault="00E8328D" w:rsidP="00190D88">
      <w:r>
        <w:separator/>
      </w:r>
    </w:p>
  </w:endnote>
  <w:endnote w:type="continuationSeparator" w:id="1">
    <w:p w:rsidR="00E8328D" w:rsidRDefault="00E8328D" w:rsidP="0019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60863"/>
      <w:docPartObj>
        <w:docPartGallery w:val="Page Numbers (Bottom of Page)"/>
        <w:docPartUnique/>
      </w:docPartObj>
    </w:sdtPr>
    <w:sdtContent>
      <w:p w:rsidR="00A00DBB" w:rsidRDefault="00EC65A8">
        <w:pPr>
          <w:pStyle w:val="Pieddepage"/>
        </w:pPr>
        <w:r>
          <w:rPr>
            <w:noProof/>
          </w:rPr>
          <w:fldChar w:fldCharType="begin"/>
        </w:r>
        <w:r w:rsidR="0009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0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BB" w:rsidRDefault="00A00D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8D" w:rsidRDefault="00E8328D" w:rsidP="00190D88">
      <w:r>
        <w:separator/>
      </w:r>
    </w:p>
  </w:footnote>
  <w:footnote w:type="continuationSeparator" w:id="1">
    <w:p w:rsidR="00E8328D" w:rsidRDefault="00E8328D" w:rsidP="0019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A28A9"/>
    <w:multiLevelType w:val="hybridMultilevel"/>
    <w:tmpl w:val="EA04349C"/>
    <w:lvl w:ilvl="0" w:tplc="72021C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0AF3"/>
    <w:multiLevelType w:val="hybridMultilevel"/>
    <w:tmpl w:val="BE5EADA0"/>
    <w:lvl w:ilvl="0" w:tplc="5E3CC00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6C"/>
    <w:rsid w:val="00011794"/>
    <w:rsid w:val="00013419"/>
    <w:rsid w:val="00013B9A"/>
    <w:rsid w:val="00015741"/>
    <w:rsid w:val="00034C09"/>
    <w:rsid w:val="00035969"/>
    <w:rsid w:val="000359FC"/>
    <w:rsid w:val="000506A3"/>
    <w:rsid w:val="000507D7"/>
    <w:rsid w:val="00060987"/>
    <w:rsid w:val="000705D9"/>
    <w:rsid w:val="00076710"/>
    <w:rsid w:val="00091777"/>
    <w:rsid w:val="000A126E"/>
    <w:rsid w:val="000B0A51"/>
    <w:rsid w:val="000B60D7"/>
    <w:rsid w:val="000C4650"/>
    <w:rsid w:val="000D4E9A"/>
    <w:rsid w:val="000F27AD"/>
    <w:rsid w:val="000F348F"/>
    <w:rsid w:val="000F64E4"/>
    <w:rsid w:val="00101093"/>
    <w:rsid w:val="001052AE"/>
    <w:rsid w:val="00105E4A"/>
    <w:rsid w:val="00117CDC"/>
    <w:rsid w:val="00130FA9"/>
    <w:rsid w:val="00140545"/>
    <w:rsid w:val="00145665"/>
    <w:rsid w:val="00150184"/>
    <w:rsid w:val="00156EA6"/>
    <w:rsid w:val="00161818"/>
    <w:rsid w:val="00190D88"/>
    <w:rsid w:val="001C3165"/>
    <w:rsid w:val="001D03CD"/>
    <w:rsid w:val="001D0683"/>
    <w:rsid w:val="001D3C18"/>
    <w:rsid w:val="001E2600"/>
    <w:rsid w:val="002002C2"/>
    <w:rsid w:val="0020320A"/>
    <w:rsid w:val="0020389A"/>
    <w:rsid w:val="002042A0"/>
    <w:rsid w:val="00225C74"/>
    <w:rsid w:val="002462C7"/>
    <w:rsid w:val="00260385"/>
    <w:rsid w:val="00284C00"/>
    <w:rsid w:val="00292536"/>
    <w:rsid w:val="002A5CF6"/>
    <w:rsid w:val="002B7A47"/>
    <w:rsid w:val="002C4504"/>
    <w:rsid w:val="002D6365"/>
    <w:rsid w:val="002E654A"/>
    <w:rsid w:val="002F0183"/>
    <w:rsid w:val="002F0293"/>
    <w:rsid w:val="002F09E8"/>
    <w:rsid w:val="00302A37"/>
    <w:rsid w:val="003121E1"/>
    <w:rsid w:val="003135FD"/>
    <w:rsid w:val="00323F67"/>
    <w:rsid w:val="00335163"/>
    <w:rsid w:val="0033773D"/>
    <w:rsid w:val="003408AB"/>
    <w:rsid w:val="003452D0"/>
    <w:rsid w:val="00346C16"/>
    <w:rsid w:val="00347168"/>
    <w:rsid w:val="003475BD"/>
    <w:rsid w:val="00351E2F"/>
    <w:rsid w:val="00366952"/>
    <w:rsid w:val="003852CA"/>
    <w:rsid w:val="0038646F"/>
    <w:rsid w:val="003C0B6A"/>
    <w:rsid w:val="003C7F4A"/>
    <w:rsid w:val="003D7553"/>
    <w:rsid w:val="003E10F7"/>
    <w:rsid w:val="003E516D"/>
    <w:rsid w:val="003F7093"/>
    <w:rsid w:val="00420280"/>
    <w:rsid w:val="004212F3"/>
    <w:rsid w:val="004360EF"/>
    <w:rsid w:val="00457328"/>
    <w:rsid w:val="00461BD0"/>
    <w:rsid w:val="004871C9"/>
    <w:rsid w:val="004A300F"/>
    <w:rsid w:val="004A3B95"/>
    <w:rsid w:val="004A5898"/>
    <w:rsid w:val="004B0B50"/>
    <w:rsid w:val="004C2380"/>
    <w:rsid w:val="004C5A49"/>
    <w:rsid w:val="004E2E36"/>
    <w:rsid w:val="004F049B"/>
    <w:rsid w:val="004F48F7"/>
    <w:rsid w:val="004F55A2"/>
    <w:rsid w:val="004F7A46"/>
    <w:rsid w:val="00514C5F"/>
    <w:rsid w:val="00523184"/>
    <w:rsid w:val="00544ECF"/>
    <w:rsid w:val="00556A42"/>
    <w:rsid w:val="00556BC2"/>
    <w:rsid w:val="00573250"/>
    <w:rsid w:val="0057572C"/>
    <w:rsid w:val="00575758"/>
    <w:rsid w:val="005770A1"/>
    <w:rsid w:val="005875EE"/>
    <w:rsid w:val="00597C4E"/>
    <w:rsid w:val="005B2F36"/>
    <w:rsid w:val="005C03E4"/>
    <w:rsid w:val="006024FD"/>
    <w:rsid w:val="00610AE0"/>
    <w:rsid w:val="00644CF2"/>
    <w:rsid w:val="00647299"/>
    <w:rsid w:val="006514E0"/>
    <w:rsid w:val="006624BE"/>
    <w:rsid w:val="00664C31"/>
    <w:rsid w:val="0068397D"/>
    <w:rsid w:val="006944BC"/>
    <w:rsid w:val="00695AEB"/>
    <w:rsid w:val="0069620E"/>
    <w:rsid w:val="006A1A66"/>
    <w:rsid w:val="006A1E09"/>
    <w:rsid w:val="006C0E9B"/>
    <w:rsid w:val="006C7D42"/>
    <w:rsid w:val="006E106C"/>
    <w:rsid w:val="006F4484"/>
    <w:rsid w:val="006F5CAE"/>
    <w:rsid w:val="00701856"/>
    <w:rsid w:val="007145DC"/>
    <w:rsid w:val="00717DAF"/>
    <w:rsid w:val="0074644E"/>
    <w:rsid w:val="00746BA9"/>
    <w:rsid w:val="0076675A"/>
    <w:rsid w:val="00792C1A"/>
    <w:rsid w:val="007A5CBA"/>
    <w:rsid w:val="007C3F0E"/>
    <w:rsid w:val="007F4447"/>
    <w:rsid w:val="0082325C"/>
    <w:rsid w:val="0085583F"/>
    <w:rsid w:val="00855A6F"/>
    <w:rsid w:val="008620F4"/>
    <w:rsid w:val="008657B0"/>
    <w:rsid w:val="0087532A"/>
    <w:rsid w:val="008A16E3"/>
    <w:rsid w:val="008A17DD"/>
    <w:rsid w:val="008B2106"/>
    <w:rsid w:val="008B7097"/>
    <w:rsid w:val="008B7816"/>
    <w:rsid w:val="009037AF"/>
    <w:rsid w:val="009136EB"/>
    <w:rsid w:val="00917041"/>
    <w:rsid w:val="0092369D"/>
    <w:rsid w:val="00930447"/>
    <w:rsid w:val="00934183"/>
    <w:rsid w:val="009419E6"/>
    <w:rsid w:val="00944CF6"/>
    <w:rsid w:val="00951EA1"/>
    <w:rsid w:val="00962E49"/>
    <w:rsid w:val="00975D09"/>
    <w:rsid w:val="009856C7"/>
    <w:rsid w:val="009925E0"/>
    <w:rsid w:val="0099384A"/>
    <w:rsid w:val="009A589B"/>
    <w:rsid w:val="009B3129"/>
    <w:rsid w:val="009B4349"/>
    <w:rsid w:val="009B580B"/>
    <w:rsid w:val="009C29FB"/>
    <w:rsid w:val="009C52E4"/>
    <w:rsid w:val="009D3F4D"/>
    <w:rsid w:val="009E37A4"/>
    <w:rsid w:val="009F6729"/>
    <w:rsid w:val="009F6DD5"/>
    <w:rsid w:val="009F74B2"/>
    <w:rsid w:val="009F7C10"/>
    <w:rsid w:val="00A00DBB"/>
    <w:rsid w:val="00A0284B"/>
    <w:rsid w:val="00A03C87"/>
    <w:rsid w:val="00A33455"/>
    <w:rsid w:val="00A34C35"/>
    <w:rsid w:val="00A36FA7"/>
    <w:rsid w:val="00A43425"/>
    <w:rsid w:val="00A45FB7"/>
    <w:rsid w:val="00A5329E"/>
    <w:rsid w:val="00A601D4"/>
    <w:rsid w:val="00A707C8"/>
    <w:rsid w:val="00A80E4B"/>
    <w:rsid w:val="00A858D4"/>
    <w:rsid w:val="00A86FFB"/>
    <w:rsid w:val="00A95C3F"/>
    <w:rsid w:val="00AB1C3D"/>
    <w:rsid w:val="00AC0229"/>
    <w:rsid w:val="00AC0A24"/>
    <w:rsid w:val="00AD381F"/>
    <w:rsid w:val="00AD7956"/>
    <w:rsid w:val="00AD7C3F"/>
    <w:rsid w:val="00AF4800"/>
    <w:rsid w:val="00B1107D"/>
    <w:rsid w:val="00B36418"/>
    <w:rsid w:val="00B57431"/>
    <w:rsid w:val="00B844B8"/>
    <w:rsid w:val="00BA0BE5"/>
    <w:rsid w:val="00BA3252"/>
    <w:rsid w:val="00BB0227"/>
    <w:rsid w:val="00BB2A38"/>
    <w:rsid w:val="00BC5710"/>
    <w:rsid w:val="00BD75A9"/>
    <w:rsid w:val="00BE4F0F"/>
    <w:rsid w:val="00BE544D"/>
    <w:rsid w:val="00BF0D50"/>
    <w:rsid w:val="00C22A18"/>
    <w:rsid w:val="00C25400"/>
    <w:rsid w:val="00C349F3"/>
    <w:rsid w:val="00C439C3"/>
    <w:rsid w:val="00C451D6"/>
    <w:rsid w:val="00C474E1"/>
    <w:rsid w:val="00C47E84"/>
    <w:rsid w:val="00C67991"/>
    <w:rsid w:val="00C67D01"/>
    <w:rsid w:val="00C71AFB"/>
    <w:rsid w:val="00C72360"/>
    <w:rsid w:val="00C75A58"/>
    <w:rsid w:val="00C94C79"/>
    <w:rsid w:val="00C9704D"/>
    <w:rsid w:val="00CB174F"/>
    <w:rsid w:val="00CB3001"/>
    <w:rsid w:val="00CC1A2B"/>
    <w:rsid w:val="00CC3115"/>
    <w:rsid w:val="00CD039D"/>
    <w:rsid w:val="00CD0F87"/>
    <w:rsid w:val="00CF1053"/>
    <w:rsid w:val="00CF417E"/>
    <w:rsid w:val="00CF45E9"/>
    <w:rsid w:val="00D011B5"/>
    <w:rsid w:val="00D0305C"/>
    <w:rsid w:val="00D13368"/>
    <w:rsid w:val="00D1367B"/>
    <w:rsid w:val="00D17FFD"/>
    <w:rsid w:val="00D265BD"/>
    <w:rsid w:val="00D36E65"/>
    <w:rsid w:val="00D47053"/>
    <w:rsid w:val="00D47999"/>
    <w:rsid w:val="00D60F90"/>
    <w:rsid w:val="00D846B5"/>
    <w:rsid w:val="00D85A65"/>
    <w:rsid w:val="00DA14B4"/>
    <w:rsid w:val="00DB2A23"/>
    <w:rsid w:val="00DD0379"/>
    <w:rsid w:val="00E01662"/>
    <w:rsid w:val="00E26A9D"/>
    <w:rsid w:val="00E42108"/>
    <w:rsid w:val="00E6251B"/>
    <w:rsid w:val="00E75F09"/>
    <w:rsid w:val="00E76ACC"/>
    <w:rsid w:val="00E8328D"/>
    <w:rsid w:val="00EA2327"/>
    <w:rsid w:val="00EA35CA"/>
    <w:rsid w:val="00EB1D0F"/>
    <w:rsid w:val="00EC31C6"/>
    <w:rsid w:val="00EC65A8"/>
    <w:rsid w:val="00ED20E6"/>
    <w:rsid w:val="00EF3586"/>
    <w:rsid w:val="00EF69B4"/>
    <w:rsid w:val="00EF7154"/>
    <w:rsid w:val="00F223AF"/>
    <w:rsid w:val="00F273F2"/>
    <w:rsid w:val="00F56320"/>
    <w:rsid w:val="00F6223B"/>
    <w:rsid w:val="00F62C7B"/>
    <w:rsid w:val="00F879D3"/>
    <w:rsid w:val="00F97289"/>
    <w:rsid w:val="00FC1486"/>
    <w:rsid w:val="00FE01FF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88"/>
    <w:pPr>
      <w:jc w:val="right"/>
    </w:pPr>
    <w:rPr>
      <w:rFonts w:ascii="Simplified Arabic" w:hAnsi="Simplified Arabic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90D8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0D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0D8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D75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D75A9"/>
    <w:rPr>
      <w:rFonts w:ascii="Simplified Arabic" w:hAnsi="Simplified Arabic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75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75A9"/>
    <w:rPr>
      <w:rFonts w:ascii="Simplified Arabic" w:hAnsi="Simplified Arabic"/>
      <w:sz w:val="24"/>
    </w:rPr>
  </w:style>
  <w:style w:type="character" w:styleId="Lienhypertexte">
    <w:name w:val="Hyperlink"/>
    <w:basedOn w:val="Policepardfaut"/>
    <w:uiPriority w:val="99"/>
    <w:unhideWhenUsed/>
    <w:rsid w:val="009304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9D"/>
    <w:rPr>
      <w:b/>
      <w:bCs/>
    </w:rPr>
  </w:style>
  <w:style w:type="paragraph" w:styleId="Paragraphedeliste">
    <w:name w:val="List Paragraph"/>
    <w:basedOn w:val="Normal"/>
    <w:uiPriority w:val="34"/>
    <w:qFormat/>
    <w:rsid w:val="009B4349"/>
    <w:pPr>
      <w:ind w:left="720"/>
      <w:contextualSpacing/>
    </w:pPr>
  </w:style>
  <w:style w:type="paragraph" w:customStyle="1" w:styleId="id5">
    <w:name w:val="id5"/>
    <w:basedOn w:val="Normal"/>
    <w:rsid w:val="006A1E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77BB-19C2-4F10-9BC5-4D2EBE15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a</cp:lastModifiedBy>
  <cp:revision>145</cp:revision>
  <dcterms:created xsi:type="dcterms:W3CDTF">2020-12-07T12:50:00Z</dcterms:created>
  <dcterms:modified xsi:type="dcterms:W3CDTF">2024-01-12T17:52:00Z</dcterms:modified>
</cp:coreProperties>
</file>