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CEE" w:rsidRPr="00657322" w:rsidRDefault="00665CEE" w:rsidP="00665CEE">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 xml:space="preserve">Université Ahmed Benyahya El Wancharissi- . </w:t>
      </w:r>
    </w:p>
    <w:p w:rsidR="00665CEE" w:rsidRPr="00657322" w:rsidRDefault="00665CEE" w:rsidP="00665CEE">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Faculté des lettres et langues .</w:t>
      </w:r>
    </w:p>
    <w:p w:rsidR="00665CEE" w:rsidRPr="00657322" w:rsidRDefault="00665CEE" w:rsidP="00665CEE">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 xml:space="preserve">Département des lettres et langues étrangères. </w:t>
      </w:r>
    </w:p>
    <w:p w:rsidR="00665CEE" w:rsidRPr="00BB647D" w:rsidRDefault="00665CEE" w:rsidP="00665CEE">
      <w:pPr>
        <w:pStyle w:val="Default"/>
        <w:shd w:val="clear" w:color="auto" w:fill="76923C" w:themeFill="accent3" w:themeFillShade="BF"/>
        <w:rPr>
          <w:rFonts w:asciiTheme="majorBidi" w:hAnsiTheme="majorBidi" w:cstheme="majorBidi"/>
          <w:b/>
          <w:bCs/>
          <w:sz w:val="28"/>
          <w:szCs w:val="28"/>
        </w:rPr>
      </w:pPr>
      <w:r w:rsidRPr="00BB647D">
        <w:rPr>
          <w:rFonts w:asciiTheme="majorBidi" w:hAnsiTheme="majorBidi" w:cstheme="majorBidi"/>
          <w:b/>
          <w:bCs/>
          <w:sz w:val="28"/>
          <w:szCs w:val="28"/>
        </w:rPr>
        <w:t xml:space="preserve">Module :  </w:t>
      </w:r>
      <w:r w:rsidRPr="00BB647D">
        <w:rPr>
          <w:rFonts w:ascii="Times New Roman" w:hAnsi="Times New Roman" w:cs="Times New Roman"/>
          <w:sz w:val="28"/>
          <w:szCs w:val="28"/>
        </w:rPr>
        <w:t xml:space="preserve"> </w:t>
      </w:r>
      <w:r w:rsidRPr="00BB647D">
        <w:rPr>
          <w:rFonts w:ascii="Times New Roman" w:hAnsi="Times New Roman" w:cs="Times New Roman"/>
          <w:b/>
          <w:bCs/>
          <w:sz w:val="28"/>
          <w:szCs w:val="28"/>
        </w:rPr>
        <w:t>Ethique et Déontologie</w:t>
      </w:r>
    </w:p>
    <w:p w:rsidR="00665CEE" w:rsidRPr="00657322" w:rsidRDefault="00665CEE" w:rsidP="00665CEE">
      <w:pPr>
        <w:shd w:val="clear" w:color="auto" w:fill="76923C" w:themeFill="accent3" w:themeFillShade="BF"/>
        <w:spacing w:before="0" w:after="0"/>
        <w:rPr>
          <w:rFonts w:asciiTheme="majorBidi" w:hAnsiTheme="majorBidi" w:cstheme="majorBidi"/>
          <w:b/>
          <w:bCs/>
          <w:sz w:val="28"/>
          <w:szCs w:val="28"/>
        </w:rPr>
      </w:pPr>
      <w:r>
        <w:rPr>
          <w:rFonts w:asciiTheme="majorBidi" w:hAnsiTheme="majorBidi" w:cstheme="majorBidi"/>
          <w:b/>
          <w:bCs/>
          <w:sz w:val="28"/>
          <w:szCs w:val="28"/>
        </w:rPr>
        <w:t xml:space="preserve">Master 1 - Didactique </w:t>
      </w:r>
      <w:r w:rsidRPr="00657322">
        <w:rPr>
          <w:rFonts w:asciiTheme="majorBidi" w:hAnsiTheme="majorBidi" w:cstheme="majorBidi"/>
          <w:b/>
          <w:bCs/>
          <w:sz w:val="28"/>
          <w:szCs w:val="28"/>
        </w:rPr>
        <w:t xml:space="preserve"> .</w:t>
      </w:r>
    </w:p>
    <w:p w:rsidR="00BA7AA6" w:rsidRPr="00BA7AA6" w:rsidRDefault="00665CEE" w:rsidP="00BA7AA6">
      <w:pPr>
        <w:shd w:val="clear" w:color="auto" w:fill="E36C0A" w:themeFill="accent6" w:themeFillShade="BF"/>
        <w:spacing w:before="0"/>
        <w:rPr>
          <w:rFonts w:asciiTheme="majorBidi" w:hAnsiTheme="majorBidi" w:cstheme="majorBidi"/>
          <w:sz w:val="24"/>
          <w:szCs w:val="24"/>
        </w:rPr>
      </w:pPr>
      <w:r w:rsidRPr="00657322">
        <w:rPr>
          <w:rFonts w:asciiTheme="majorBidi" w:hAnsiTheme="majorBidi" w:cstheme="majorBidi"/>
          <w:b/>
          <w:bCs/>
          <w:sz w:val="28"/>
          <w:szCs w:val="28"/>
        </w:rPr>
        <w:t>Cours n°</w:t>
      </w:r>
      <w:r>
        <w:rPr>
          <w:rFonts w:asciiTheme="majorBidi" w:hAnsiTheme="majorBidi" w:cstheme="majorBidi"/>
          <w:b/>
          <w:bCs/>
          <w:sz w:val="28"/>
          <w:szCs w:val="28"/>
        </w:rPr>
        <w:t>7</w:t>
      </w:r>
      <w:r w:rsidRPr="00657322">
        <w:rPr>
          <w:rFonts w:asciiTheme="majorBidi" w:hAnsiTheme="majorBidi" w:cstheme="majorBidi"/>
          <w:b/>
          <w:bCs/>
          <w:sz w:val="28"/>
          <w:szCs w:val="28"/>
        </w:rPr>
        <w:t xml:space="preserve"> : </w:t>
      </w:r>
      <w:r w:rsidRPr="00BA7AA6">
        <w:rPr>
          <w:rFonts w:asciiTheme="majorBidi" w:hAnsiTheme="majorBidi" w:cstheme="majorBidi"/>
          <w:sz w:val="28"/>
          <w:szCs w:val="28"/>
        </w:rPr>
        <w:t>LA CHARTE D’ETHIQUE ET DE LA DEONTOLOGIE UNIVERSITAIRE</w:t>
      </w:r>
      <w:r w:rsidR="00BA7AA6">
        <w:rPr>
          <w:rFonts w:asciiTheme="majorBidi" w:hAnsiTheme="majorBidi" w:cstheme="majorBidi"/>
          <w:sz w:val="28"/>
          <w:szCs w:val="28"/>
        </w:rPr>
        <w:t> :</w:t>
      </w:r>
      <w:r w:rsidR="00BA7AA6" w:rsidRPr="00BA7AA6">
        <w:rPr>
          <w:rFonts w:asciiTheme="majorBidi" w:hAnsiTheme="majorBidi" w:cstheme="majorBidi"/>
          <w:sz w:val="24"/>
          <w:szCs w:val="24"/>
        </w:rPr>
        <w:t>Droits et devoirs du personnel administratif et technique de l’enseignement supérieur</w:t>
      </w:r>
    </w:p>
    <w:p w:rsidR="00BA7AA6" w:rsidRPr="00FA7D37" w:rsidRDefault="00BA7AA6" w:rsidP="00BA7AA6">
      <w:pPr>
        <w:pStyle w:val="Paragraphedeliste"/>
        <w:numPr>
          <w:ilvl w:val="2"/>
          <w:numId w:val="3"/>
        </w:numPr>
        <w:autoSpaceDE w:val="0"/>
        <w:autoSpaceDN w:val="0"/>
        <w:adjustRightInd w:val="0"/>
        <w:spacing w:before="0" w:after="0" w:line="360" w:lineRule="auto"/>
        <w:rPr>
          <w:rFonts w:asciiTheme="majorBidi" w:hAnsiTheme="majorBidi" w:cstheme="majorBidi"/>
          <w:color w:val="000000"/>
          <w:sz w:val="24"/>
          <w:szCs w:val="24"/>
        </w:rPr>
      </w:pPr>
      <w:r w:rsidRPr="00FA7D37">
        <w:rPr>
          <w:rFonts w:asciiTheme="majorBidi" w:hAnsiTheme="majorBidi" w:cstheme="majorBidi"/>
          <w:b/>
          <w:bCs/>
          <w:color w:val="000000"/>
          <w:sz w:val="24"/>
          <w:szCs w:val="24"/>
        </w:rPr>
        <w:t xml:space="preserve">Les droits du personnel administratif et technique de l’enseignement supérieur </w:t>
      </w:r>
      <w:r>
        <w:rPr>
          <w:rStyle w:val="Appelnotedebasdep"/>
          <w:rFonts w:asciiTheme="majorBidi" w:hAnsiTheme="majorBidi" w:cstheme="majorBidi"/>
          <w:b/>
          <w:bCs/>
          <w:color w:val="000000"/>
          <w:sz w:val="24"/>
          <w:szCs w:val="24"/>
        </w:rPr>
        <w:footnoteReference w:id="2"/>
      </w:r>
    </w:p>
    <w:p w:rsidR="00BA7AA6" w:rsidRPr="00C77B42" w:rsidRDefault="00BA7AA6" w:rsidP="00BA7AA6">
      <w:pPr>
        <w:autoSpaceDE w:val="0"/>
        <w:autoSpaceDN w:val="0"/>
        <w:adjustRightInd w:val="0"/>
        <w:spacing w:before="0" w:after="0" w:line="360" w:lineRule="auto"/>
        <w:rPr>
          <w:rFonts w:asciiTheme="majorBidi" w:hAnsiTheme="majorBidi" w:cstheme="majorBidi"/>
          <w:color w:val="000000"/>
          <w:sz w:val="24"/>
          <w:szCs w:val="24"/>
        </w:rPr>
      </w:pPr>
    </w:p>
    <w:p w:rsidR="00BA7AA6" w:rsidRDefault="00BA7AA6" w:rsidP="00BA7AA6">
      <w:pPr>
        <w:autoSpaceDE w:val="0"/>
        <w:autoSpaceDN w:val="0"/>
        <w:adjustRightInd w:val="0"/>
        <w:spacing w:before="0" w:after="0" w:line="360" w:lineRule="auto"/>
        <w:rPr>
          <w:rFonts w:asciiTheme="majorBidi" w:hAnsiTheme="majorBidi" w:cstheme="majorBidi"/>
          <w:color w:val="000000"/>
          <w:sz w:val="24"/>
          <w:szCs w:val="24"/>
          <w:shd w:val="clear" w:color="auto" w:fill="FFFFFF" w:themeFill="background1"/>
        </w:rPr>
      </w:pPr>
      <w:r w:rsidRPr="00A11F6B">
        <w:rPr>
          <w:rFonts w:asciiTheme="majorBidi" w:hAnsiTheme="majorBidi" w:cstheme="majorBidi"/>
          <w:color w:val="000000"/>
          <w:sz w:val="24"/>
          <w:szCs w:val="24"/>
          <w:shd w:val="clear" w:color="auto" w:fill="FFFFFF" w:themeFill="background1"/>
        </w:rPr>
        <w:t>Les droits du personnel administratif et technique de l’enseignement supérieur</w:t>
      </w:r>
      <w:r>
        <w:rPr>
          <w:rFonts w:asciiTheme="majorBidi" w:hAnsiTheme="majorBidi" w:cstheme="majorBidi"/>
          <w:color w:val="000000"/>
          <w:sz w:val="24"/>
          <w:szCs w:val="24"/>
          <w:shd w:val="clear" w:color="auto" w:fill="FFFFFF" w:themeFill="background1"/>
        </w:rPr>
        <w:t> :</w:t>
      </w:r>
    </w:p>
    <w:p w:rsidR="00BA7AA6" w:rsidRDefault="00BA7AA6" w:rsidP="00BA7AA6">
      <w:pPr>
        <w:autoSpaceDE w:val="0"/>
        <w:autoSpaceDN w:val="0"/>
        <w:adjustRightInd w:val="0"/>
        <w:spacing w:before="0" w:after="0" w:line="360" w:lineRule="auto"/>
        <w:rPr>
          <w:rFonts w:asciiTheme="majorBidi" w:hAnsiTheme="majorBidi" w:cstheme="majorBidi"/>
          <w:color w:val="000000"/>
          <w:sz w:val="24"/>
          <w:szCs w:val="24"/>
          <w:shd w:val="clear" w:color="auto" w:fill="FFFFFF" w:themeFill="background1"/>
        </w:rPr>
      </w:pPr>
      <w:r w:rsidRPr="00A11F6B">
        <w:rPr>
          <w:rFonts w:asciiTheme="majorBidi" w:hAnsiTheme="majorBidi" w:cstheme="majorBidi"/>
          <w:color w:val="000000"/>
          <w:sz w:val="24"/>
          <w:szCs w:val="24"/>
          <w:shd w:val="clear" w:color="auto" w:fill="FFFFFF" w:themeFill="background1"/>
        </w:rPr>
        <w:t xml:space="preserve"> • Le personnel administratif et technique mérite le même respect, la même considération et la même équité que tous les autres acteurs de l'enseignement supérieur. </w:t>
      </w:r>
    </w:p>
    <w:p w:rsidR="00BA7AA6" w:rsidRDefault="00BA7AA6" w:rsidP="00BA7AA6">
      <w:pPr>
        <w:autoSpaceDE w:val="0"/>
        <w:autoSpaceDN w:val="0"/>
        <w:adjustRightInd w:val="0"/>
        <w:spacing w:before="0" w:after="0" w:line="360" w:lineRule="auto"/>
        <w:rPr>
          <w:rFonts w:asciiTheme="majorBidi" w:hAnsiTheme="majorBidi" w:cstheme="majorBidi"/>
          <w:color w:val="000000"/>
          <w:sz w:val="24"/>
          <w:szCs w:val="24"/>
          <w:shd w:val="clear" w:color="auto" w:fill="FFFFFF" w:themeFill="background1"/>
        </w:rPr>
      </w:pPr>
      <w:r w:rsidRPr="00A11F6B">
        <w:rPr>
          <w:rFonts w:asciiTheme="majorBidi" w:hAnsiTheme="majorBidi" w:cstheme="majorBidi"/>
          <w:color w:val="000000"/>
          <w:sz w:val="24"/>
          <w:szCs w:val="24"/>
          <w:shd w:val="clear" w:color="auto" w:fill="FFFFFF" w:themeFill="background1"/>
        </w:rPr>
        <w:t xml:space="preserve">• Il doit bénéficier de conditions de travail adéquates qui lui permettent d'exercer sa mission de manière optimale, et pour cela, il a accès à des programmes de formation continue afin d'améliorer constamment ses compétences. </w:t>
      </w:r>
    </w:p>
    <w:p w:rsidR="00BA7AA6" w:rsidRDefault="00BA7AA6" w:rsidP="00BA7AA6">
      <w:pPr>
        <w:autoSpaceDE w:val="0"/>
        <w:autoSpaceDN w:val="0"/>
        <w:adjustRightInd w:val="0"/>
        <w:spacing w:before="0" w:after="0" w:line="360" w:lineRule="auto"/>
        <w:rPr>
          <w:rFonts w:asciiTheme="majorBidi" w:hAnsiTheme="majorBidi" w:cstheme="majorBidi"/>
          <w:color w:val="000000"/>
          <w:sz w:val="24"/>
          <w:szCs w:val="24"/>
          <w:shd w:val="clear" w:color="auto" w:fill="FFFFFF" w:themeFill="background1"/>
        </w:rPr>
      </w:pPr>
      <w:r w:rsidRPr="00A11F6B">
        <w:rPr>
          <w:rFonts w:asciiTheme="majorBidi" w:hAnsiTheme="majorBidi" w:cstheme="majorBidi"/>
          <w:color w:val="000000"/>
          <w:sz w:val="24"/>
          <w:szCs w:val="24"/>
          <w:shd w:val="clear" w:color="auto" w:fill="FFFFFF" w:themeFill="background1"/>
        </w:rPr>
        <w:t xml:space="preserve">• Le personnel administratif et technique doit être protégé contre toute forme de harcèlement ou de discrimination dans le cadre de sa carrière. </w:t>
      </w:r>
    </w:p>
    <w:p w:rsidR="00BA7AA6" w:rsidRDefault="00BA7AA6" w:rsidP="00BA7AA6">
      <w:pPr>
        <w:autoSpaceDE w:val="0"/>
        <w:autoSpaceDN w:val="0"/>
        <w:adjustRightInd w:val="0"/>
        <w:spacing w:before="0" w:after="0" w:line="360" w:lineRule="auto"/>
        <w:rPr>
          <w:rFonts w:asciiTheme="majorBidi" w:hAnsiTheme="majorBidi" w:cstheme="majorBidi"/>
          <w:color w:val="000000"/>
          <w:sz w:val="24"/>
          <w:szCs w:val="24"/>
          <w:shd w:val="clear" w:color="auto" w:fill="FFFFFF" w:themeFill="background1"/>
        </w:rPr>
      </w:pPr>
      <w:r w:rsidRPr="00A11F6B">
        <w:rPr>
          <w:rFonts w:asciiTheme="majorBidi" w:hAnsiTheme="majorBidi" w:cstheme="majorBidi"/>
          <w:color w:val="000000"/>
          <w:sz w:val="24"/>
          <w:szCs w:val="24"/>
          <w:shd w:val="clear" w:color="auto" w:fill="FFFFFF" w:themeFill="background1"/>
        </w:rPr>
        <w:t>• Lors des examens de recrutement, des évaluations, des nominations et des promotions, il a le droit de recevoir un traitement juste et impartial.</w:t>
      </w:r>
    </w:p>
    <w:p w:rsidR="00BA7AA6" w:rsidRPr="00C77B42" w:rsidRDefault="00BA7AA6" w:rsidP="00BA7AA6">
      <w:pPr>
        <w:autoSpaceDE w:val="0"/>
        <w:autoSpaceDN w:val="0"/>
        <w:adjustRightInd w:val="0"/>
        <w:spacing w:before="0" w:after="0" w:line="360" w:lineRule="auto"/>
        <w:rPr>
          <w:rFonts w:asciiTheme="majorBidi" w:hAnsiTheme="majorBidi" w:cstheme="majorBidi"/>
          <w:color w:val="000000"/>
          <w:sz w:val="24"/>
          <w:szCs w:val="24"/>
          <w:shd w:val="clear" w:color="auto" w:fill="F4F5F6"/>
        </w:rPr>
      </w:pPr>
    </w:p>
    <w:p w:rsidR="00BA7AA6" w:rsidRPr="00A11F6B" w:rsidRDefault="00BA7AA6" w:rsidP="00BA7AA6">
      <w:pPr>
        <w:pStyle w:val="sc-66fcc2ad-0"/>
        <w:numPr>
          <w:ilvl w:val="2"/>
          <w:numId w:val="3"/>
        </w:numPr>
        <w:shd w:val="clear" w:color="auto" w:fill="FFFFFF" w:themeFill="background1"/>
        <w:spacing w:before="0" w:beforeAutospacing="0" w:after="0" w:afterAutospacing="0" w:line="360" w:lineRule="auto"/>
        <w:jc w:val="both"/>
        <w:rPr>
          <w:rFonts w:asciiTheme="majorBidi" w:hAnsiTheme="majorBidi" w:cstheme="majorBidi"/>
          <w:b/>
          <w:bCs/>
          <w:color w:val="000000"/>
          <w:shd w:val="clear" w:color="auto" w:fill="F4F5F6"/>
        </w:rPr>
      </w:pPr>
      <w:r w:rsidRPr="00A11F6B">
        <w:rPr>
          <w:rFonts w:asciiTheme="majorBidi" w:hAnsiTheme="majorBidi" w:cstheme="majorBidi"/>
          <w:b/>
          <w:bCs/>
          <w:color w:val="000000"/>
          <w:shd w:val="clear" w:color="auto" w:fill="FFFFFF" w:themeFill="background1"/>
        </w:rPr>
        <w:t xml:space="preserve">Les </w:t>
      </w:r>
      <w:r>
        <w:rPr>
          <w:rFonts w:asciiTheme="majorBidi" w:hAnsiTheme="majorBidi" w:cstheme="majorBidi"/>
          <w:b/>
          <w:bCs/>
          <w:color w:val="000000"/>
          <w:shd w:val="clear" w:color="auto" w:fill="FFFFFF" w:themeFill="background1"/>
        </w:rPr>
        <w:t>devoirs</w:t>
      </w:r>
      <w:r w:rsidRPr="00A11F6B">
        <w:rPr>
          <w:rFonts w:asciiTheme="majorBidi" w:hAnsiTheme="majorBidi" w:cstheme="majorBidi"/>
          <w:b/>
          <w:bCs/>
          <w:color w:val="000000"/>
          <w:shd w:val="clear" w:color="auto" w:fill="FFFFFF" w:themeFill="background1"/>
        </w:rPr>
        <w:t xml:space="preserve"> du personnel administratif et technique de l’enseignement supérieur</w:t>
      </w:r>
      <w:r w:rsidRPr="00A11F6B">
        <w:rPr>
          <w:rFonts w:asciiTheme="majorBidi" w:hAnsiTheme="majorBidi" w:cstheme="majorBidi"/>
          <w:b/>
          <w:bCs/>
          <w:color w:val="000000"/>
          <w:shd w:val="clear" w:color="auto" w:fill="F4F5F6"/>
        </w:rPr>
        <w:t xml:space="preserve"> </w:t>
      </w:r>
    </w:p>
    <w:p w:rsidR="00BA7AA6" w:rsidRDefault="00BA7AA6" w:rsidP="00BA7AA6">
      <w:pPr>
        <w:pStyle w:val="sc-66fcc2ad-0"/>
        <w:spacing w:before="0" w:beforeAutospacing="0" w:after="0" w:afterAutospacing="0" w:line="360" w:lineRule="auto"/>
        <w:jc w:val="both"/>
        <w:rPr>
          <w:rFonts w:asciiTheme="majorBidi" w:hAnsiTheme="majorBidi" w:cstheme="majorBidi"/>
          <w:color w:val="000000"/>
          <w:shd w:val="clear" w:color="auto" w:fill="FFFFFF" w:themeFill="background1"/>
        </w:rPr>
      </w:pPr>
      <w:r w:rsidRPr="00A11F6B">
        <w:rPr>
          <w:rFonts w:asciiTheme="majorBidi" w:hAnsiTheme="majorBidi" w:cstheme="majorBidi"/>
          <w:color w:val="000000"/>
          <w:shd w:val="clear" w:color="auto" w:fill="FFFFFF" w:themeFill="background1"/>
        </w:rPr>
        <w:t xml:space="preserve">La mission du personnel administratif et technique de l'enseignement supérieur consiste à établir des conditions optimales pour que les enseignants-chercheurs puissent exercer pleinement leurs fonctions d'enseignement et de recherche, tout en aidant les étudiants à réussir leur parcours universitaire. Cette mission de service public, assurée par les établissements d'enseignement supérieur à travers leur personnel administratif et technique, </w:t>
      </w:r>
      <w:r w:rsidRPr="00A11F6B">
        <w:rPr>
          <w:rFonts w:asciiTheme="majorBidi" w:hAnsiTheme="majorBidi" w:cstheme="majorBidi"/>
          <w:color w:val="000000"/>
          <w:shd w:val="clear" w:color="auto" w:fill="FFFFFF" w:themeFill="background1"/>
        </w:rPr>
        <w:lastRenderedPageBreak/>
        <w:t xml:space="preserve">doit être réalisée dans le respect des valeurs fondamentales de la fonction publique, telles que : le respect, la compétence, l'impartialité, l'intégrité, la confidentialité, la transparence et la loyauté. Le personnel administratif et technique doit : </w:t>
      </w:r>
    </w:p>
    <w:p w:rsidR="00BA7AA6" w:rsidRDefault="00BA7AA6" w:rsidP="00BA7AA6">
      <w:pPr>
        <w:pStyle w:val="sc-66fcc2ad-0"/>
        <w:numPr>
          <w:ilvl w:val="0"/>
          <w:numId w:val="3"/>
        </w:numPr>
        <w:spacing w:before="0" w:beforeAutospacing="0" w:after="0" w:afterAutospacing="0" w:line="360" w:lineRule="auto"/>
        <w:jc w:val="both"/>
        <w:rPr>
          <w:rFonts w:asciiTheme="majorBidi" w:hAnsiTheme="majorBidi" w:cstheme="majorBidi"/>
          <w:color w:val="000000"/>
          <w:shd w:val="clear" w:color="auto" w:fill="F4F5F6"/>
        </w:rPr>
      </w:pPr>
      <w:r w:rsidRPr="00A11F6B">
        <w:rPr>
          <w:rFonts w:asciiTheme="majorBidi" w:hAnsiTheme="majorBidi" w:cstheme="majorBidi"/>
          <w:color w:val="000000"/>
          <w:shd w:val="clear" w:color="auto" w:fill="FFFFFF" w:themeFill="background1"/>
        </w:rPr>
        <w:t>Faire preuve de considération envers toutes les personnes avec lesquelles il interagit dans l'exercice de ses fonctions. Il doit faire preuve de courtoisie, d'écoute et de discrétion. De plus, il doit agir avec diligence et efficacité dans l'accomplissement de sa mission. Ce respect s'étend également aux domaines de compétence de chacun. Ainsi, il doit éviter toute ingérence dans les actes pédagogiques et scientifiques. De même, l’administration des établissements d’enseignement supérieur doit s’abstenir de toute interférence dans ces domaines.</w:t>
      </w:r>
      <w:r w:rsidRPr="00C77B42">
        <w:rPr>
          <w:rFonts w:asciiTheme="majorBidi" w:hAnsiTheme="majorBidi" w:cstheme="majorBidi"/>
          <w:color w:val="000000"/>
          <w:shd w:val="clear" w:color="auto" w:fill="F4F5F6"/>
        </w:rPr>
        <w:t xml:space="preserve"> </w:t>
      </w:r>
    </w:p>
    <w:p w:rsidR="00BA7AA6" w:rsidRDefault="00BA7AA6" w:rsidP="00BA7AA6">
      <w:pPr>
        <w:pStyle w:val="sc-66fcc2ad-0"/>
        <w:numPr>
          <w:ilvl w:val="0"/>
          <w:numId w:val="3"/>
        </w:numPr>
        <w:spacing w:before="0" w:beforeAutospacing="0" w:after="0" w:afterAutospacing="0" w:line="360" w:lineRule="auto"/>
        <w:jc w:val="both"/>
        <w:rPr>
          <w:rFonts w:asciiTheme="majorBidi" w:hAnsiTheme="majorBidi" w:cstheme="majorBidi"/>
          <w:color w:val="000000"/>
          <w:shd w:val="clear" w:color="auto" w:fill="F4F5F6"/>
        </w:rPr>
      </w:pPr>
      <w:r w:rsidRPr="00A11F6B">
        <w:rPr>
          <w:rFonts w:asciiTheme="majorBidi" w:hAnsiTheme="majorBidi" w:cstheme="majorBidi"/>
          <w:color w:val="000000"/>
          <w:shd w:val="clear" w:color="auto" w:fill="FFFFFF" w:themeFill="background1"/>
        </w:rPr>
        <w:t>Accomplir ses tâches avec professionnalisme : Il doit assumer la responsabilité de ses décisions et de ses actions, ainsi que de l'utilisation judicieuse des ressources et des informations à sa disposition</w:t>
      </w:r>
      <w:r w:rsidRPr="00C77B42">
        <w:rPr>
          <w:rFonts w:asciiTheme="majorBidi" w:hAnsiTheme="majorBidi" w:cstheme="majorBidi"/>
          <w:color w:val="000000"/>
          <w:shd w:val="clear" w:color="auto" w:fill="F4F5F6"/>
        </w:rPr>
        <w:t xml:space="preserve">. </w:t>
      </w:r>
    </w:p>
    <w:p w:rsidR="00BA7AA6" w:rsidRDefault="00BA7AA6" w:rsidP="00BA7AA6">
      <w:pPr>
        <w:pStyle w:val="sc-66fcc2ad-0"/>
        <w:numPr>
          <w:ilvl w:val="0"/>
          <w:numId w:val="3"/>
        </w:numPr>
        <w:shd w:val="clear" w:color="auto" w:fill="FFFFFF" w:themeFill="background1"/>
        <w:spacing w:before="0" w:beforeAutospacing="0" w:after="0" w:afterAutospacing="0" w:line="360" w:lineRule="auto"/>
        <w:jc w:val="both"/>
        <w:rPr>
          <w:rFonts w:asciiTheme="majorBidi" w:hAnsiTheme="majorBidi" w:cstheme="majorBidi"/>
          <w:color w:val="000000"/>
          <w:shd w:val="clear" w:color="auto" w:fill="F4F5F6"/>
        </w:rPr>
      </w:pPr>
      <w:r w:rsidRPr="00A11F6B">
        <w:rPr>
          <w:rFonts w:asciiTheme="majorBidi" w:hAnsiTheme="majorBidi" w:cstheme="majorBidi"/>
          <w:color w:val="000000"/>
          <w:shd w:val="clear" w:color="auto" w:fill="FFFFFF" w:themeFill="background1"/>
        </w:rPr>
        <w:t>Faire preuve de neutralité et d’objectivité. Il prend ses décisions dans le respect des règles en vigueur, en accordant à tous un traitement équitable. Il remplit ses fonctions sans considérations partisanes et évite toute forme de discrimination.</w:t>
      </w:r>
      <w:r w:rsidRPr="00C77B42">
        <w:rPr>
          <w:rFonts w:asciiTheme="majorBidi" w:hAnsiTheme="majorBidi" w:cstheme="majorBidi"/>
          <w:color w:val="000000"/>
          <w:shd w:val="clear" w:color="auto" w:fill="F4F5F6"/>
        </w:rPr>
        <w:t xml:space="preserve"> </w:t>
      </w:r>
    </w:p>
    <w:p w:rsidR="00BA7AA6" w:rsidRPr="00C77B42" w:rsidRDefault="00BA7AA6" w:rsidP="00BA7AA6">
      <w:pPr>
        <w:pStyle w:val="sc-66fcc2ad-0"/>
        <w:numPr>
          <w:ilvl w:val="0"/>
          <w:numId w:val="3"/>
        </w:numPr>
        <w:shd w:val="clear" w:color="auto" w:fill="FFFFFF" w:themeFill="background1"/>
        <w:spacing w:before="0" w:beforeAutospacing="0" w:after="0" w:afterAutospacing="0" w:line="360" w:lineRule="auto"/>
        <w:jc w:val="both"/>
        <w:rPr>
          <w:rFonts w:asciiTheme="majorBidi" w:hAnsiTheme="majorBidi" w:cstheme="majorBidi"/>
          <w:color w:val="000000"/>
          <w:shd w:val="clear" w:color="auto" w:fill="F4F5F6"/>
        </w:rPr>
      </w:pPr>
      <w:r w:rsidRPr="00A11F6B">
        <w:rPr>
          <w:rFonts w:asciiTheme="majorBidi" w:hAnsiTheme="majorBidi" w:cstheme="majorBidi"/>
          <w:color w:val="000000"/>
          <w:shd w:val="clear" w:color="auto" w:fill="FFFFFF" w:themeFill="background1"/>
        </w:rPr>
        <w:t>Se conduire de manière juste et honnête. Il doit éviter de se placer dans une situation où il pourrait être redevable à quiconque.</w:t>
      </w:r>
    </w:p>
    <w:p w:rsidR="00BA7AA6" w:rsidRPr="00C77B42" w:rsidRDefault="00BA7AA6" w:rsidP="00BA7AA6">
      <w:pPr>
        <w:pStyle w:val="sc-66fcc2ad-0"/>
        <w:spacing w:before="0" w:beforeAutospacing="0" w:after="0" w:afterAutospacing="0" w:line="360" w:lineRule="auto"/>
        <w:ind w:left="360"/>
        <w:jc w:val="both"/>
        <w:rPr>
          <w:rFonts w:asciiTheme="majorBidi" w:hAnsiTheme="majorBidi" w:cstheme="majorBidi"/>
        </w:rPr>
      </w:pPr>
    </w:p>
    <w:p w:rsidR="00BA7AA6" w:rsidRPr="00C77B42" w:rsidRDefault="00BA7AA6" w:rsidP="00BA7AA6">
      <w:pPr>
        <w:pStyle w:val="sc-66fcc2ad-0"/>
        <w:spacing w:before="0" w:beforeAutospacing="0" w:after="0" w:afterAutospacing="0" w:line="360" w:lineRule="auto"/>
        <w:jc w:val="center"/>
        <w:rPr>
          <w:rFonts w:asciiTheme="majorBidi" w:hAnsiTheme="majorBidi" w:cstheme="majorBidi"/>
          <w:b/>
          <w:bCs/>
        </w:rPr>
      </w:pPr>
      <w:r w:rsidRPr="00C77B42">
        <w:rPr>
          <w:rFonts w:asciiTheme="majorBidi" w:hAnsiTheme="majorBidi" w:cstheme="majorBidi"/>
          <w:b/>
          <w:bCs/>
        </w:rPr>
        <w:t>Tous les membres de la communauté universitaire doivent s'engager à respecter l'esprit et la lettre de cette charte, démontrant ainsi leur engagement envers les règles éthiques et déontologiques.</w:t>
      </w:r>
    </w:p>
    <w:p w:rsidR="00213047" w:rsidRPr="00256920" w:rsidRDefault="00213047" w:rsidP="00213047">
      <w:pPr>
        <w:autoSpaceDE w:val="0"/>
        <w:autoSpaceDN w:val="0"/>
        <w:adjustRightInd w:val="0"/>
        <w:spacing w:before="0" w:after="0"/>
        <w:rPr>
          <w:rFonts w:asciiTheme="majorBidi" w:hAnsiTheme="majorBidi" w:cstheme="majorBidi"/>
          <w:b/>
          <w:bCs/>
          <w:sz w:val="24"/>
          <w:szCs w:val="24"/>
        </w:rPr>
      </w:pPr>
    </w:p>
    <w:sectPr w:rsidR="00213047" w:rsidRPr="00256920" w:rsidSect="00C15D3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F65" w:rsidRDefault="008E0F65" w:rsidP="00BA7AA6">
      <w:pPr>
        <w:spacing w:before="0" w:after="0"/>
      </w:pPr>
      <w:r>
        <w:separator/>
      </w:r>
    </w:p>
  </w:endnote>
  <w:endnote w:type="continuationSeparator" w:id="1">
    <w:p w:rsidR="008E0F65" w:rsidRDefault="008E0F65" w:rsidP="00BA7AA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F65" w:rsidRDefault="008E0F65" w:rsidP="00BA7AA6">
      <w:pPr>
        <w:spacing w:before="0" w:after="0"/>
      </w:pPr>
      <w:r>
        <w:separator/>
      </w:r>
    </w:p>
  </w:footnote>
  <w:footnote w:type="continuationSeparator" w:id="1">
    <w:p w:rsidR="008E0F65" w:rsidRDefault="008E0F65" w:rsidP="00BA7AA6">
      <w:pPr>
        <w:spacing w:before="0" w:after="0"/>
      </w:pPr>
      <w:r>
        <w:continuationSeparator/>
      </w:r>
    </w:p>
  </w:footnote>
  <w:footnote w:id="2">
    <w:p w:rsidR="00BA7AA6" w:rsidRPr="000C59FD" w:rsidRDefault="00BA7AA6" w:rsidP="00BA7AA6">
      <w:pPr>
        <w:pStyle w:val="Titre2"/>
        <w:shd w:val="clear" w:color="auto" w:fill="FFFFFF"/>
        <w:spacing w:before="0"/>
        <w:rPr>
          <w:rFonts w:asciiTheme="majorBidi" w:eastAsia="Times New Roman" w:hAnsiTheme="majorBidi"/>
          <w:b w:val="0"/>
          <w:bCs w:val="0"/>
          <w:color w:val="auto"/>
          <w:sz w:val="20"/>
          <w:szCs w:val="20"/>
          <w:lang w:eastAsia="fr-FR"/>
        </w:rPr>
      </w:pPr>
      <w:r>
        <w:rPr>
          <w:rStyle w:val="Appelnotedebasdep"/>
        </w:rPr>
        <w:footnoteRef/>
      </w:r>
      <w:r>
        <w:t xml:space="preserve"> </w:t>
      </w:r>
      <w:r w:rsidRPr="000C59FD">
        <w:rPr>
          <w:rFonts w:asciiTheme="majorBidi" w:hAnsiTheme="majorBidi"/>
          <w:b w:val="0"/>
          <w:bCs w:val="0"/>
          <w:color w:val="auto"/>
          <w:sz w:val="20"/>
          <w:szCs w:val="20"/>
        </w:rPr>
        <w:t xml:space="preserve">Règles déontologiques, </w:t>
      </w:r>
      <w:r>
        <w:rPr>
          <w:rFonts w:asciiTheme="majorBidi" w:hAnsiTheme="majorBidi"/>
          <w:b w:val="0"/>
          <w:bCs w:val="0"/>
          <w:color w:val="auto"/>
          <w:sz w:val="20"/>
          <w:szCs w:val="20"/>
        </w:rPr>
        <w:t>Les Droits et Devoirs d</w:t>
      </w:r>
      <w:r w:rsidRPr="000C59FD">
        <w:rPr>
          <w:rFonts w:asciiTheme="majorBidi" w:hAnsiTheme="majorBidi"/>
          <w:b w:val="0"/>
          <w:bCs w:val="0"/>
          <w:color w:val="auto"/>
          <w:sz w:val="20"/>
          <w:szCs w:val="20"/>
        </w:rPr>
        <w:t>es personnels administratifs, techniciens et agents des services</w:t>
      </w:r>
      <w:r w:rsidRPr="000C59FD">
        <w:rPr>
          <w:rFonts w:asciiTheme="majorBidi" w:eastAsia="Times New Roman" w:hAnsiTheme="majorBidi"/>
          <w:b w:val="0"/>
          <w:bCs w:val="0"/>
          <w:color w:val="auto"/>
          <w:sz w:val="20"/>
          <w:szCs w:val="20"/>
          <w:lang w:eastAsia="fr-FR"/>
        </w:rPr>
        <w:t xml:space="preserve">, Ministère de l’Enseignement Supérieur et de la Recherche Scientifique  (2022) </w:t>
      </w:r>
    </w:p>
    <w:p w:rsidR="00BA7AA6" w:rsidRDefault="00BA7AA6" w:rsidP="00BA7AA6">
      <w:pPr>
        <w:pStyle w:val="Titre2"/>
        <w:shd w:val="clear" w:color="auto" w:fill="FFFFFF"/>
        <w:spacing w:before="0"/>
        <w:rPr>
          <w:rFonts w:asciiTheme="majorBidi" w:eastAsia="Times New Roman" w:hAnsiTheme="majorBidi"/>
          <w:b w:val="0"/>
          <w:bCs w:val="0"/>
          <w:color w:val="auto"/>
          <w:sz w:val="20"/>
          <w:szCs w:val="20"/>
          <w:lang w:eastAsia="fr-FR"/>
        </w:rPr>
      </w:pPr>
      <w:hyperlink r:id="rId1" w:history="1">
        <w:r w:rsidRPr="00067386">
          <w:rPr>
            <w:rStyle w:val="Lienhypertexte"/>
            <w:rFonts w:asciiTheme="majorBidi" w:eastAsia="Times New Roman" w:hAnsiTheme="majorBidi"/>
            <w:b w:val="0"/>
            <w:bCs w:val="0"/>
            <w:sz w:val="20"/>
            <w:szCs w:val="20"/>
            <w:lang w:eastAsia="fr-FR"/>
          </w:rPr>
          <w:t>https://www.mesrs.dz/index.php/fr/ethique-et-deontologie/charte-ethique-et-deontologie/</w:t>
        </w:r>
      </w:hyperlink>
    </w:p>
    <w:p w:rsidR="00BA7AA6" w:rsidRPr="00405ACE" w:rsidRDefault="00BA7AA6" w:rsidP="00BA7AA6">
      <w:pPr>
        <w:rPr>
          <w:lang w:eastAsia="fr-FR"/>
        </w:rPr>
      </w:pPr>
    </w:p>
    <w:p w:rsidR="00BA7AA6" w:rsidRPr="00405ACE" w:rsidRDefault="00BA7AA6" w:rsidP="00BA7AA6">
      <w:pPr>
        <w:rPr>
          <w:lang w:eastAsia="fr-FR"/>
        </w:rPr>
      </w:pPr>
    </w:p>
    <w:p w:rsidR="00BA7AA6" w:rsidRDefault="00BA7AA6" w:rsidP="00BA7AA6">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C28"/>
    <w:multiLevelType w:val="multilevel"/>
    <w:tmpl w:val="74A69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9548C4"/>
    <w:multiLevelType w:val="hybridMultilevel"/>
    <w:tmpl w:val="88FA5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2470F4F"/>
    <w:multiLevelType w:val="multilevel"/>
    <w:tmpl w:val="01CC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665CEE"/>
    <w:rsid w:val="00141642"/>
    <w:rsid w:val="00150119"/>
    <w:rsid w:val="00213047"/>
    <w:rsid w:val="00217406"/>
    <w:rsid w:val="002245E3"/>
    <w:rsid w:val="00256920"/>
    <w:rsid w:val="002751AF"/>
    <w:rsid w:val="00412DB1"/>
    <w:rsid w:val="00663134"/>
    <w:rsid w:val="00665CEE"/>
    <w:rsid w:val="00741D59"/>
    <w:rsid w:val="008E0F65"/>
    <w:rsid w:val="009A3212"/>
    <w:rsid w:val="00B91F93"/>
    <w:rsid w:val="00B93C23"/>
    <w:rsid w:val="00BA7AA6"/>
    <w:rsid w:val="00C03F7F"/>
    <w:rsid w:val="00C10F42"/>
    <w:rsid w:val="00C15D37"/>
    <w:rsid w:val="00E82097"/>
    <w:rsid w:val="00F31ED5"/>
    <w:rsid w:val="00F46DBC"/>
    <w:rsid w:val="00F9338F"/>
    <w:rsid w:val="00FC1A6E"/>
    <w:rsid w:val="00FF65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CEE"/>
    <w:pPr>
      <w:spacing w:before="240" w:after="240" w:line="240" w:lineRule="auto"/>
      <w:jc w:val="both"/>
    </w:pPr>
  </w:style>
  <w:style w:type="paragraph" w:styleId="Titre1">
    <w:name w:val="heading 1"/>
    <w:basedOn w:val="Normal"/>
    <w:link w:val="Titre1Car"/>
    <w:uiPriority w:val="9"/>
    <w:qFormat/>
    <w:rsid w:val="00BA7AA6"/>
    <w:pPr>
      <w:spacing w:before="100" w:beforeAutospacing="1" w:after="100" w:afterAutospacing="1"/>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BA7A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65CEE"/>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150119"/>
    <w:pPr>
      <w:ind w:left="720"/>
      <w:contextualSpacing/>
    </w:pPr>
  </w:style>
  <w:style w:type="character" w:customStyle="1" w:styleId="Titre1Car">
    <w:name w:val="Titre 1 Car"/>
    <w:basedOn w:val="Policepardfaut"/>
    <w:link w:val="Titre1"/>
    <w:uiPriority w:val="9"/>
    <w:rsid w:val="00BA7AA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A7AA6"/>
    <w:rPr>
      <w:rFonts w:asciiTheme="majorHAnsi" w:eastAsiaTheme="majorEastAsia" w:hAnsiTheme="majorHAnsi" w:cstheme="majorBidi"/>
      <w:b/>
      <w:bCs/>
      <w:color w:val="4F81BD" w:themeColor="accent1"/>
      <w:sz w:val="26"/>
      <w:szCs w:val="26"/>
    </w:rPr>
  </w:style>
  <w:style w:type="paragraph" w:customStyle="1" w:styleId="sc-66fcc2ad-0">
    <w:name w:val="sc-66fcc2ad-0"/>
    <w:basedOn w:val="Normal"/>
    <w:rsid w:val="00BA7AA6"/>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BA7AA6"/>
    <w:pPr>
      <w:spacing w:before="0" w:after="0"/>
    </w:pPr>
    <w:rPr>
      <w:sz w:val="20"/>
      <w:szCs w:val="20"/>
    </w:rPr>
  </w:style>
  <w:style w:type="character" w:customStyle="1" w:styleId="NotedebasdepageCar">
    <w:name w:val="Note de bas de page Car"/>
    <w:basedOn w:val="Policepardfaut"/>
    <w:link w:val="Notedebasdepage"/>
    <w:uiPriority w:val="99"/>
    <w:semiHidden/>
    <w:rsid w:val="00BA7AA6"/>
    <w:rPr>
      <w:sz w:val="20"/>
      <w:szCs w:val="20"/>
    </w:rPr>
  </w:style>
  <w:style w:type="character" w:styleId="Appelnotedebasdep">
    <w:name w:val="footnote reference"/>
    <w:basedOn w:val="Policepardfaut"/>
    <w:uiPriority w:val="99"/>
    <w:semiHidden/>
    <w:unhideWhenUsed/>
    <w:rsid w:val="00BA7AA6"/>
    <w:rPr>
      <w:vertAlign w:val="superscript"/>
    </w:rPr>
  </w:style>
  <w:style w:type="character" w:styleId="Lienhypertexte">
    <w:name w:val="Hyperlink"/>
    <w:basedOn w:val="Policepardfaut"/>
    <w:uiPriority w:val="99"/>
    <w:unhideWhenUsed/>
    <w:rsid w:val="00BA7AA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mesrs.dz/index.php/fr/ethique-et-deontologie/charte-ethique-et-deontolog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508</Words>
  <Characters>2799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19</cp:revision>
  <dcterms:created xsi:type="dcterms:W3CDTF">2023-11-28T12:45:00Z</dcterms:created>
  <dcterms:modified xsi:type="dcterms:W3CDTF">2025-11-20T10:58:00Z</dcterms:modified>
</cp:coreProperties>
</file>