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77" w:rsidRPr="00AA1A77" w:rsidRDefault="00AA1A77" w:rsidP="00AA1A77">
      <w:pPr>
        <w:spacing w:line="360" w:lineRule="auto"/>
        <w:jc w:val="both"/>
        <w:rPr>
          <w:rFonts w:asciiTheme="majorBidi" w:hAnsiTheme="majorBidi" w:cstheme="majorBidi"/>
          <w:b/>
          <w:bCs/>
          <w:sz w:val="24"/>
          <w:szCs w:val="24"/>
        </w:rPr>
      </w:pPr>
      <w:r w:rsidRPr="00AA1A77">
        <w:rPr>
          <w:rFonts w:asciiTheme="majorBidi" w:hAnsiTheme="majorBidi" w:cstheme="majorBidi"/>
          <w:b/>
          <w:bCs/>
          <w:sz w:val="24"/>
          <w:szCs w:val="24"/>
        </w:rPr>
        <w:t>Chapitre 1 : Fondements théoriques</w:t>
      </w:r>
    </w:p>
    <w:p w:rsidR="00AA1A77" w:rsidRPr="002A5CEF" w:rsidRDefault="00AA1A77" w:rsidP="00AA1A77">
      <w:pPr>
        <w:pStyle w:val="NormalWeb"/>
        <w:jc w:val="both"/>
        <w:rPr>
          <w:rFonts w:asciiTheme="majorBidi" w:hAnsiTheme="majorBidi" w:cstheme="majorBidi"/>
        </w:rPr>
      </w:pPr>
      <w:r w:rsidRPr="00AA1A77">
        <w:rPr>
          <w:rFonts w:asciiTheme="majorBidi" w:hAnsiTheme="majorBidi" w:cstheme="majorBidi"/>
          <w:b/>
          <w:bCs/>
        </w:rPr>
        <w:t xml:space="preserve">Cours 2 </w:t>
      </w:r>
      <w:proofErr w:type="gramStart"/>
      <w:r w:rsidRPr="00AA1A77">
        <w:rPr>
          <w:rFonts w:asciiTheme="majorBidi" w:hAnsiTheme="majorBidi" w:cstheme="majorBidi"/>
          <w:b/>
          <w:bCs/>
        </w:rPr>
        <w:t>:</w:t>
      </w:r>
      <w:r w:rsidRPr="002A5CEF">
        <w:rPr>
          <w:rFonts w:asciiTheme="majorBidi" w:hAnsiTheme="majorBidi" w:cstheme="majorBidi"/>
        </w:rPr>
        <w:t>Introduction</w:t>
      </w:r>
      <w:proofErr w:type="gramEnd"/>
      <w:r w:rsidRPr="002A5CEF">
        <w:rPr>
          <w:rFonts w:asciiTheme="majorBidi" w:hAnsiTheme="majorBidi" w:cstheme="majorBidi"/>
        </w:rPr>
        <w:t xml:space="preserve"> générale aux genres littéraires : Pourquoi et comment classer ?</w:t>
      </w:r>
      <w:r>
        <w:rPr>
          <w:rFonts w:asciiTheme="majorBidi" w:hAnsiTheme="majorBidi" w:cstheme="majorBidi"/>
        </w:rPr>
        <w:t xml:space="preserve">(Suite) </w:t>
      </w:r>
    </w:p>
    <w:p w:rsidR="00AA1A77" w:rsidRDefault="00AA1A77" w:rsidP="00AA1A77">
      <w:pPr>
        <w:spacing w:before="100" w:beforeAutospacing="1" w:after="100" w:afterAutospacing="1" w:line="360" w:lineRule="auto"/>
        <w:jc w:val="both"/>
        <w:outlineLvl w:val="2"/>
        <w:rPr>
          <w:rFonts w:asciiTheme="majorBidi" w:hAnsiTheme="majorBidi" w:cstheme="majorBidi"/>
          <w:b/>
          <w:bCs/>
          <w:sz w:val="24"/>
          <w:szCs w:val="24"/>
        </w:rPr>
      </w:pPr>
    </w:p>
    <w:p w:rsidR="00AA1A77" w:rsidRPr="00AA1A77" w:rsidRDefault="00AA1A77" w:rsidP="00AA1A77">
      <w:pPr>
        <w:spacing w:before="100" w:beforeAutospacing="1" w:after="100" w:afterAutospacing="1" w:line="360" w:lineRule="auto"/>
        <w:jc w:val="both"/>
        <w:outlineLvl w:val="2"/>
        <w:rPr>
          <w:rFonts w:ascii="Times New Roman" w:eastAsia="Times New Roman" w:hAnsi="Times New Roman" w:cs="Times New Roman"/>
          <w:b/>
          <w:bCs/>
          <w:sz w:val="24"/>
          <w:szCs w:val="24"/>
          <w:lang w:eastAsia="fr-FR"/>
        </w:rPr>
      </w:pPr>
      <w:r w:rsidRPr="00AA1A77">
        <w:rPr>
          <w:rFonts w:ascii="Times New Roman" w:eastAsia="Times New Roman" w:hAnsi="Times New Roman" w:cs="Times New Roman"/>
          <w:b/>
          <w:bCs/>
          <w:sz w:val="24"/>
          <w:szCs w:val="24"/>
          <w:lang w:eastAsia="fr-FR"/>
        </w:rPr>
        <w:t>Pourquoi classer les genres littéraires ? Enjeux pédagogiques et cognitifs</w:t>
      </w:r>
    </w:p>
    <w:p w:rsidR="00AA1A77" w:rsidRPr="00AA1A77" w:rsidRDefault="00AA1A77" w:rsidP="00AA1A7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La classification des genres littéraires répond, en didactique du français, à des </w:t>
      </w:r>
      <w:r w:rsidRPr="00AA1A77">
        <w:rPr>
          <w:rFonts w:ascii="Times New Roman" w:eastAsia="Times New Roman" w:hAnsi="Times New Roman" w:cs="Times New Roman"/>
          <w:b/>
          <w:bCs/>
          <w:sz w:val="24"/>
          <w:szCs w:val="24"/>
          <w:lang w:eastAsia="fr-FR"/>
        </w:rPr>
        <w:t>enjeux pédagogiques et cognitifs majeurs</w:t>
      </w:r>
      <w:r w:rsidRPr="00AA1A77">
        <w:rPr>
          <w:rFonts w:ascii="Times New Roman" w:eastAsia="Times New Roman" w:hAnsi="Times New Roman" w:cs="Times New Roman"/>
          <w:sz w:val="24"/>
          <w:szCs w:val="24"/>
          <w:lang w:eastAsia="fr-FR"/>
        </w:rPr>
        <w:t>, dans la mesure où elle permet de structurer les apprentissages et de faciliter l’accès au sens. En effet, face à la complexité des textes littéraires, l’apprenant peut se trouver en difficulté s’il ne dispose pas de repères lui permettant d’identifier la nature du texte, son organisation et ses finalités. Comme le souligne Genette, le genre joue un rôle d’« horizon d’attente » qui oriente la lecture et conditionne l’interprétation de l’œuvre (Genette, 1986). En contexte didactique, cette anticipation constitue un levier essentiel pour la compréhension, en réduisant la charge cognitive liée au décodage du texte.</w:t>
      </w:r>
    </w:p>
    <w:p w:rsidR="00AA1A77" w:rsidRPr="00AA1A77" w:rsidRDefault="00AA1A77" w:rsidP="00AA1A7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Sur le plan pédagogique, la classification des genres permet d’associer chaque type de texte à des </w:t>
      </w:r>
      <w:r w:rsidRPr="00AA1A77">
        <w:rPr>
          <w:rFonts w:ascii="Times New Roman" w:eastAsia="Times New Roman" w:hAnsi="Times New Roman" w:cs="Times New Roman"/>
          <w:b/>
          <w:bCs/>
          <w:sz w:val="24"/>
          <w:szCs w:val="24"/>
          <w:lang w:eastAsia="fr-FR"/>
        </w:rPr>
        <w:t>objectifs d’apprentissage précis</w:t>
      </w:r>
      <w:r w:rsidRPr="00AA1A77">
        <w:rPr>
          <w:rFonts w:ascii="Times New Roman" w:eastAsia="Times New Roman" w:hAnsi="Times New Roman" w:cs="Times New Roman"/>
          <w:sz w:val="24"/>
          <w:szCs w:val="24"/>
          <w:lang w:eastAsia="fr-FR"/>
        </w:rPr>
        <w:t xml:space="preserve">. Le récit, par exemple, favorise le développement de la compétence narrative, tandis que la poésie sollicite la sensibilité esthétique et le rapport à la langue, et que le théâtre permet de travailler l’oralité et l’interaction. Cette organisation par genres contribue à une progression cohérente des apprentissages, en lien avec les compétences visées par les programmes. </w:t>
      </w:r>
      <w:proofErr w:type="spellStart"/>
      <w:r w:rsidRPr="00AA1A77">
        <w:rPr>
          <w:rFonts w:ascii="Times New Roman" w:eastAsia="Times New Roman" w:hAnsi="Times New Roman" w:cs="Times New Roman"/>
          <w:sz w:val="24"/>
          <w:szCs w:val="24"/>
          <w:lang w:eastAsia="fr-FR"/>
        </w:rPr>
        <w:t>Schneuwly</w:t>
      </w:r>
      <w:proofErr w:type="spellEnd"/>
      <w:r w:rsidRPr="00AA1A77">
        <w:rPr>
          <w:rFonts w:ascii="Times New Roman" w:eastAsia="Times New Roman" w:hAnsi="Times New Roman" w:cs="Times New Roman"/>
          <w:sz w:val="24"/>
          <w:szCs w:val="24"/>
          <w:lang w:eastAsia="fr-FR"/>
        </w:rPr>
        <w:t xml:space="preserve"> et </w:t>
      </w:r>
      <w:proofErr w:type="spellStart"/>
      <w:r w:rsidRPr="00AA1A77">
        <w:rPr>
          <w:rFonts w:ascii="Times New Roman" w:eastAsia="Times New Roman" w:hAnsi="Times New Roman" w:cs="Times New Roman"/>
          <w:sz w:val="24"/>
          <w:szCs w:val="24"/>
          <w:lang w:eastAsia="fr-FR"/>
        </w:rPr>
        <w:t>Dolz</w:t>
      </w:r>
      <w:proofErr w:type="spellEnd"/>
      <w:r w:rsidRPr="00AA1A77">
        <w:rPr>
          <w:rFonts w:ascii="Times New Roman" w:eastAsia="Times New Roman" w:hAnsi="Times New Roman" w:cs="Times New Roman"/>
          <w:sz w:val="24"/>
          <w:szCs w:val="24"/>
          <w:lang w:eastAsia="fr-FR"/>
        </w:rPr>
        <w:t xml:space="preserve"> (2009) affirment à ce propos que les genres constituent des « matrices d’activités langagières », dans la mesure où ils articulent contenus linguistiques, finalités communicatives et pratiques sociales.</w:t>
      </w:r>
    </w:p>
    <w:p w:rsidR="00AA1A77" w:rsidRPr="00AA1A77" w:rsidRDefault="00AA1A77" w:rsidP="00AA1A7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D’un point de vue cognitif, la classification générique favorise la </w:t>
      </w:r>
      <w:r w:rsidRPr="00AA1A77">
        <w:rPr>
          <w:rFonts w:ascii="Times New Roman" w:eastAsia="Times New Roman" w:hAnsi="Times New Roman" w:cs="Times New Roman"/>
          <w:b/>
          <w:bCs/>
          <w:sz w:val="24"/>
          <w:szCs w:val="24"/>
          <w:lang w:eastAsia="fr-FR"/>
        </w:rPr>
        <w:t>construction de schémas mentaux</w:t>
      </w:r>
      <w:r w:rsidRPr="00AA1A77">
        <w:rPr>
          <w:rFonts w:ascii="Times New Roman" w:eastAsia="Times New Roman" w:hAnsi="Times New Roman" w:cs="Times New Roman"/>
          <w:sz w:val="24"/>
          <w:szCs w:val="24"/>
          <w:lang w:eastAsia="fr-FR"/>
        </w:rPr>
        <w:t xml:space="preserve"> chez l’apprenant. En identifiant des régularités textuelles, celui-ci développe des stratégies de lecture plus efficaces, fondées sur la reconnaissance de structures récurrentes. Selon Bruner, l’apprentissage repose en grande partie sur la catégorisation, qui permet à l’individu d’organiser l’information et de donner du sens à l’expérience (Bruner, 1996). Appliquée à la littérature, cette logique de catégorisation aide l’apprenant à passer d’une lecture intuitive à une lecture analytique et réflexive.</w:t>
      </w:r>
    </w:p>
    <w:p w:rsidR="00AA1A77" w:rsidRPr="00AA1A77" w:rsidRDefault="00AA1A77" w:rsidP="00AA1A7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lastRenderedPageBreak/>
        <w:t xml:space="preserve">Par ailleurs, la classification des genres joue un rôle déterminant dans le développement de la </w:t>
      </w:r>
      <w:r w:rsidRPr="00AA1A77">
        <w:rPr>
          <w:rFonts w:ascii="Times New Roman" w:eastAsia="Times New Roman" w:hAnsi="Times New Roman" w:cs="Times New Roman"/>
          <w:b/>
          <w:bCs/>
          <w:sz w:val="24"/>
          <w:szCs w:val="24"/>
          <w:lang w:eastAsia="fr-FR"/>
        </w:rPr>
        <w:t>compétence scripturale</w:t>
      </w:r>
      <w:r w:rsidRPr="00AA1A77">
        <w:rPr>
          <w:rFonts w:ascii="Times New Roman" w:eastAsia="Times New Roman" w:hAnsi="Times New Roman" w:cs="Times New Roman"/>
          <w:sz w:val="24"/>
          <w:szCs w:val="24"/>
          <w:lang w:eastAsia="fr-FR"/>
        </w:rPr>
        <w:t>. En production écrite, la connaissance des caractéristiques d’un genre donné offre à l’apprenant des modèles discursifs sur lesquels il peut s’appuyer pour structurer son propre texte. Comme le souligne Adam (2011), les genres textuels constituent des cadres de production qui guident l’organisation du discours, sans pour autant enfermer l’écriture dans des formes rigides. Dans une perspective didactique, il s’agit donc d’utiliser le genre comme un support à la créativité, et non comme une contrainte normative.</w:t>
      </w:r>
    </w:p>
    <w:p w:rsidR="00AA1A77" w:rsidRPr="00AA1A77" w:rsidRDefault="00AA1A77" w:rsidP="00AA1A7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Ainsi, classer les genres littéraires ne relève pas d’une simple démarche classificatoire, mais d’une </w:t>
      </w:r>
      <w:r w:rsidRPr="00AA1A77">
        <w:rPr>
          <w:rFonts w:ascii="Times New Roman" w:eastAsia="Times New Roman" w:hAnsi="Times New Roman" w:cs="Times New Roman"/>
          <w:b/>
          <w:bCs/>
          <w:sz w:val="24"/>
          <w:szCs w:val="24"/>
          <w:lang w:eastAsia="fr-FR"/>
        </w:rPr>
        <w:t>stratégie pédagogique réfléchie</w:t>
      </w:r>
      <w:r w:rsidRPr="00AA1A77">
        <w:rPr>
          <w:rFonts w:ascii="Times New Roman" w:eastAsia="Times New Roman" w:hAnsi="Times New Roman" w:cs="Times New Roman"/>
          <w:sz w:val="24"/>
          <w:szCs w:val="24"/>
          <w:lang w:eastAsia="fr-FR"/>
        </w:rPr>
        <w:t>, visant à accompagner l’apprenant dans la construction de compétences langagières, interprétatives et culturelles. La classification permet de rendre les apprentissages plus accessibles et plus signifiants, à condition qu’elle soit pensée comme un outil évolutif, adapté aux objectifs d’enseignement et aux besoins des apprenants.</w:t>
      </w:r>
    </w:p>
    <w:p w:rsidR="00AA1A77" w:rsidRPr="00AA1A77" w:rsidRDefault="00AA1A77" w:rsidP="00AA1A7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b/>
          <w:bCs/>
          <w:sz w:val="24"/>
          <w:szCs w:val="24"/>
          <w:lang w:eastAsia="fr-FR"/>
        </w:rPr>
        <w:t>Références bibliographiques</w:t>
      </w:r>
    </w:p>
    <w:p w:rsidR="00AA1A77" w:rsidRPr="00AA1A77" w:rsidRDefault="00AA1A77" w:rsidP="00AA1A7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Aristote. </w:t>
      </w:r>
      <w:r w:rsidRPr="00AA1A77">
        <w:rPr>
          <w:rFonts w:ascii="Times New Roman" w:eastAsia="Times New Roman" w:hAnsi="Times New Roman" w:cs="Times New Roman"/>
          <w:i/>
          <w:iCs/>
          <w:sz w:val="24"/>
          <w:szCs w:val="24"/>
          <w:lang w:eastAsia="fr-FR"/>
        </w:rPr>
        <w:t>La Poétique</w:t>
      </w:r>
      <w:r w:rsidRPr="00AA1A77">
        <w:rPr>
          <w:rFonts w:ascii="Times New Roman" w:eastAsia="Times New Roman" w:hAnsi="Times New Roman" w:cs="Times New Roman"/>
          <w:sz w:val="24"/>
          <w:szCs w:val="24"/>
          <w:lang w:eastAsia="fr-FR"/>
        </w:rPr>
        <w:t>.</w:t>
      </w:r>
    </w:p>
    <w:p w:rsidR="00AA1A77" w:rsidRPr="00AA1A77" w:rsidRDefault="00AA1A77" w:rsidP="00AA1A7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Adam, J.-M. (2011). </w:t>
      </w:r>
      <w:r w:rsidRPr="00AA1A77">
        <w:rPr>
          <w:rFonts w:ascii="Times New Roman" w:eastAsia="Times New Roman" w:hAnsi="Times New Roman" w:cs="Times New Roman"/>
          <w:i/>
          <w:iCs/>
          <w:sz w:val="24"/>
          <w:szCs w:val="24"/>
          <w:lang w:eastAsia="fr-FR"/>
        </w:rPr>
        <w:t>Les textes : types et prototypes</w:t>
      </w:r>
      <w:r w:rsidRPr="00AA1A77">
        <w:rPr>
          <w:rFonts w:ascii="Times New Roman" w:eastAsia="Times New Roman" w:hAnsi="Times New Roman" w:cs="Times New Roman"/>
          <w:sz w:val="24"/>
          <w:szCs w:val="24"/>
          <w:lang w:eastAsia="fr-FR"/>
        </w:rPr>
        <w:t>. Paris : Armand Colin.</w:t>
      </w:r>
    </w:p>
    <w:p w:rsidR="00AA1A77" w:rsidRPr="00AA1A77" w:rsidRDefault="00AA1A77" w:rsidP="00AA1A7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Bakhtine, M. (1984). </w:t>
      </w:r>
      <w:r w:rsidRPr="00AA1A77">
        <w:rPr>
          <w:rFonts w:ascii="Times New Roman" w:eastAsia="Times New Roman" w:hAnsi="Times New Roman" w:cs="Times New Roman"/>
          <w:i/>
          <w:iCs/>
          <w:sz w:val="24"/>
          <w:szCs w:val="24"/>
          <w:lang w:eastAsia="fr-FR"/>
        </w:rPr>
        <w:t>Esthétique de la création verbale</w:t>
      </w:r>
      <w:r w:rsidRPr="00AA1A77">
        <w:rPr>
          <w:rFonts w:ascii="Times New Roman" w:eastAsia="Times New Roman" w:hAnsi="Times New Roman" w:cs="Times New Roman"/>
          <w:sz w:val="24"/>
          <w:szCs w:val="24"/>
          <w:lang w:eastAsia="fr-FR"/>
        </w:rPr>
        <w:t>. Paris : Gallimard.</w:t>
      </w:r>
    </w:p>
    <w:p w:rsidR="00AA1A77" w:rsidRPr="00AA1A77" w:rsidRDefault="00AA1A77" w:rsidP="00AA1A77">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AA1A77">
        <w:rPr>
          <w:rFonts w:ascii="Times New Roman" w:eastAsia="Times New Roman" w:hAnsi="Times New Roman" w:cs="Times New Roman"/>
          <w:sz w:val="24"/>
          <w:szCs w:val="24"/>
          <w:lang w:eastAsia="fr-FR"/>
        </w:rPr>
        <w:t xml:space="preserve">Todorov, T. (1978). </w:t>
      </w:r>
      <w:r w:rsidRPr="00AA1A77">
        <w:rPr>
          <w:rFonts w:ascii="Times New Roman" w:eastAsia="Times New Roman" w:hAnsi="Times New Roman" w:cs="Times New Roman"/>
          <w:i/>
          <w:iCs/>
          <w:sz w:val="24"/>
          <w:szCs w:val="24"/>
          <w:lang w:eastAsia="fr-FR"/>
        </w:rPr>
        <w:t>Les genres du discours</w:t>
      </w:r>
      <w:r w:rsidRPr="00AA1A77">
        <w:rPr>
          <w:rFonts w:ascii="Times New Roman" w:eastAsia="Times New Roman" w:hAnsi="Times New Roman" w:cs="Times New Roman"/>
          <w:sz w:val="24"/>
          <w:szCs w:val="24"/>
          <w:lang w:eastAsia="fr-FR"/>
        </w:rPr>
        <w:t>. Paris : Seuil.</w:t>
      </w:r>
    </w:p>
    <w:p w:rsidR="002054F5" w:rsidRPr="00AA1A77" w:rsidRDefault="00AA1A77" w:rsidP="00AA1A77">
      <w:pPr>
        <w:spacing w:line="360" w:lineRule="auto"/>
        <w:jc w:val="both"/>
        <w:rPr>
          <w:sz w:val="24"/>
          <w:szCs w:val="24"/>
        </w:rPr>
      </w:pPr>
    </w:p>
    <w:sectPr w:rsidR="002054F5" w:rsidRPr="00AA1A77" w:rsidSect="00B204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717F5"/>
    <w:multiLevelType w:val="multilevel"/>
    <w:tmpl w:val="8BD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A1A77"/>
    <w:rsid w:val="00251989"/>
    <w:rsid w:val="00AA1A77"/>
    <w:rsid w:val="00B20442"/>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A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A1A7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3083</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2026-04-18T10:28:00Z</dcterms:created>
  <dcterms:modified xsi:type="dcterms:W3CDTF">2026-04-18T10:30:00Z</dcterms:modified>
</cp:coreProperties>
</file>