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E4" w:rsidRPr="00AA1A77" w:rsidRDefault="001D01E4" w:rsidP="001D01E4">
      <w:pPr>
        <w:spacing w:line="360" w:lineRule="auto"/>
        <w:jc w:val="center"/>
        <w:rPr>
          <w:rFonts w:asciiTheme="majorBidi" w:hAnsiTheme="majorBidi" w:cstheme="majorBidi"/>
          <w:b/>
          <w:bCs/>
          <w:sz w:val="24"/>
          <w:szCs w:val="24"/>
        </w:rPr>
      </w:pPr>
      <w:r w:rsidRPr="00AA1A77">
        <w:rPr>
          <w:rFonts w:asciiTheme="majorBidi" w:hAnsiTheme="majorBidi" w:cstheme="majorBidi"/>
          <w:b/>
          <w:bCs/>
          <w:sz w:val="24"/>
          <w:szCs w:val="24"/>
        </w:rPr>
        <w:t>Chapitre 1 : Fondements théoriques</w:t>
      </w:r>
    </w:p>
    <w:p w:rsidR="001D01E4" w:rsidRPr="009B7F53" w:rsidRDefault="001D01E4" w:rsidP="001D01E4">
      <w:pPr>
        <w:spacing w:before="100" w:beforeAutospacing="1" w:after="100" w:afterAutospacing="1" w:line="360" w:lineRule="auto"/>
        <w:jc w:val="both"/>
        <w:outlineLvl w:val="2"/>
        <w:rPr>
          <w:rFonts w:ascii="Times New Roman" w:eastAsia="Times New Roman" w:hAnsi="Times New Roman" w:cs="Times New Roman"/>
          <w:b/>
          <w:bCs/>
          <w:sz w:val="24"/>
          <w:szCs w:val="24"/>
          <w:lang w:eastAsia="fr-FR"/>
        </w:rPr>
      </w:pPr>
      <w:r w:rsidRPr="009B7F53">
        <w:rPr>
          <w:rFonts w:ascii="Times New Roman" w:eastAsia="Times New Roman" w:hAnsi="Times New Roman" w:cs="Times New Roman"/>
          <w:b/>
          <w:bCs/>
          <w:sz w:val="24"/>
          <w:szCs w:val="24"/>
          <w:lang w:eastAsia="fr-FR"/>
        </w:rPr>
        <w:t xml:space="preserve">Cours </w:t>
      </w:r>
      <w:r>
        <w:rPr>
          <w:rFonts w:ascii="Times New Roman" w:eastAsia="Times New Roman" w:hAnsi="Times New Roman" w:cs="Times New Roman"/>
          <w:b/>
          <w:bCs/>
          <w:sz w:val="24"/>
          <w:szCs w:val="24"/>
          <w:lang w:eastAsia="fr-FR"/>
        </w:rPr>
        <w:t>4</w:t>
      </w:r>
      <w:r w:rsidRPr="009B7F53">
        <w:rPr>
          <w:rFonts w:ascii="Times New Roman" w:eastAsia="Times New Roman" w:hAnsi="Times New Roman" w:cs="Times New Roman"/>
          <w:b/>
          <w:bCs/>
          <w:sz w:val="24"/>
          <w:szCs w:val="24"/>
          <w:lang w:eastAsia="fr-FR"/>
        </w:rPr>
        <w:t> : Fondements théoriques de la classification des genres littéraires</w:t>
      </w:r>
      <w:r>
        <w:rPr>
          <w:rFonts w:ascii="Times New Roman" w:eastAsia="Times New Roman" w:hAnsi="Times New Roman" w:cs="Times New Roman"/>
          <w:b/>
          <w:bCs/>
          <w:sz w:val="24"/>
          <w:szCs w:val="24"/>
          <w:lang w:eastAsia="fr-FR"/>
        </w:rPr>
        <w:t xml:space="preserve"> (Suite)</w:t>
      </w:r>
    </w:p>
    <w:p w:rsidR="001D01E4" w:rsidRPr="009B7F53" w:rsidRDefault="001D01E4" w:rsidP="001D01E4">
      <w:pPr>
        <w:pStyle w:val="NormalWeb"/>
        <w:spacing w:line="360" w:lineRule="auto"/>
        <w:jc w:val="both"/>
      </w:pPr>
      <w:r w:rsidRPr="009B7F53">
        <w:t xml:space="preserve">Le </w:t>
      </w:r>
      <w:r w:rsidRPr="009B7F53">
        <w:rPr>
          <w:rStyle w:val="lev"/>
        </w:rPr>
        <w:t>critère thématique</w:t>
      </w:r>
      <w:r w:rsidRPr="009B7F53">
        <w:t xml:space="preserve"> constitue un second axe de classification, particulièrement pertinent dans une perspective pédagogique. Il consiste à regrouper les textes en fonction des thèmes dominants qu’ils abordent, tels que l’amour, la quête identitaire, la guerre ou l’exil. Ce critère permet de relier les œuvres à l’univers de référence des apprenants et de renforcer leur motivation. Comme le souligne Bruner (1996), l’apprentissage est favorisé lorsque les contenus enseignés font sens pour l’apprenant et s’inscrivent dans une logique culturelle partagée. Toutefois, le critère thématique ne saurait suffire à lui seul, car un même thème peut traverser des genres différents.</w:t>
      </w:r>
    </w:p>
    <w:p w:rsidR="001D01E4" w:rsidRPr="009B7F53" w:rsidRDefault="001D01E4" w:rsidP="001D01E4">
      <w:pPr>
        <w:pStyle w:val="NormalWeb"/>
        <w:spacing w:line="360" w:lineRule="auto"/>
        <w:jc w:val="both"/>
      </w:pPr>
      <w:r w:rsidRPr="009B7F53">
        <w:t xml:space="preserve">Le </w:t>
      </w:r>
      <w:r w:rsidRPr="009B7F53">
        <w:rPr>
          <w:rStyle w:val="lev"/>
        </w:rPr>
        <w:t>critère fonctionnel</w:t>
      </w:r>
      <w:r w:rsidRPr="009B7F53">
        <w:rPr>
          <w:rStyle w:val="lev"/>
          <w:b w:val="0"/>
          <w:bCs w:val="0"/>
        </w:rPr>
        <w:t xml:space="preserve"> ou </w:t>
      </w:r>
      <w:r w:rsidRPr="009B7F53">
        <w:rPr>
          <w:rStyle w:val="lev"/>
        </w:rPr>
        <w:t>pragmatique</w:t>
      </w:r>
      <w:r w:rsidRPr="009B7F53">
        <w:t xml:space="preserve"> occupe une place centrale en didactique. Il s’intéresse aux intentions communicatives du texte : raconter, décrire, exprimer des émotions, argumenter ou mettre en scène une action. Cette approche s’inscrit pleinement dans une pédagogie par compétences, en mettant l’accent sur les effets produits par le texte et sur les actes de langage mobilisés. </w:t>
      </w:r>
      <w:proofErr w:type="spellStart"/>
      <w:r w:rsidRPr="009B7F53">
        <w:t>Schneuwly</w:t>
      </w:r>
      <w:proofErr w:type="spellEnd"/>
      <w:r w:rsidRPr="009B7F53">
        <w:t xml:space="preserve"> et </w:t>
      </w:r>
      <w:proofErr w:type="spellStart"/>
      <w:r w:rsidRPr="009B7F53">
        <w:t>Dolz</w:t>
      </w:r>
      <w:proofErr w:type="spellEnd"/>
      <w:r w:rsidRPr="009B7F53">
        <w:t xml:space="preserve"> (2009) soulignent que les genres constituent des formes stabilisées d’actions langagières, ce qui explique leur efficacité comme outils d’enseignement-apprentissage. En classant les genres selon leurs fonctions, l’enseignant peut mieux articuler lecture et production écrite.</w:t>
      </w:r>
    </w:p>
    <w:p w:rsidR="001D01E4" w:rsidRPr="009B7F53" w:rsidRDefault="001D01E4" w:rsidP="001D01E4">
      <w:pPr>
        <w:pStyle w:val="NormalWeb"/>
        <w:spacing w:line="360" w:lineRule="auto"/>
        <w:jc w:val="both"/>
      </w:pPr>
      <w:r w:rsidRPr="009B7F53">
        <w:t xml:space="preserve">Enfin, le </w:t>
      </w:r>
      <w:r w:rsidRPr="009B7F53">
        <w:rPr>
          <w:rStyle w:val="lev"/>
          <w:b w:val="0"/>
          <w:bCs w:val="0"/>
        </w:rPr>
        <w:t xml:space="preserve">critère </w:t>
      </w:r>
      <w:r w:rsidRPr="009B7F53">
        <w:rPr>
          <w:rStyle w:val="lev"/>
        </w:rPr>
        <w:t>socioculturel</w:t>
      </w:r>
      <w:r w:rsidRPr="009B7F53">
        <w:t xml:space="preserve"> permet d’inscrire les genres littéraires dans leur contexte de production et de réception. Les genres sont indissociables des pratiques sociales et des normes culturelles qui les façonnent. Bakhtine rappelle que les genres du discours sont liés aux sphères d’activité humaine et évoluent avec elles (Bakhtine, 1984). En didactique, cette dimension socioculturelle est essentielle pour développer la compétence interculturelle des apprenants et les sensibiliser à la diversité des traditions littéraires.</w:t>
      </w:r>
    </w:p>
    <w:p w:rsidR="001D01E4" w:rsidRPr="009B7F53" w:rsidRDefault="001D01E4" w:rsidP="001D01E4">
      <w:pPr>
        <w:pStyle w:val="NormalWeb"/>
        <w:spacing w:line="360" w:lineRule="auto"/>
        <w:jc w:val="both"/>
      </w:pPr>
      <w:r w:rsidRPr="009B7F53">
        <w:t xml:space="preserve">Ainsi, la classification des genres littéraires en didactique repose sur une </w:t>
      </w:r>
      <w:r w:rsidRPr="009B7F53">
        <w:rPr>
          <w:rStyle w:val="lev"/>
          <w:b w:val="0"/>
          <w:bCs w:val="0"/>
        </w:rPr>
        <w:t>approche plurielle et souple</w:t>
      </w:r>
      <w:r w:rsidRPr="009B7F53">
        <w:t>, combinant des critères formels, thématiques, fonctionnels et socioculturels. Cette démarche permet d’adapter l’enseignement aux objectifs pédagogiques et aux besoins des apprenants, tout en respectant la complexité et la richesse du fait littéraire. Le genre devient alors un outil didactique dynamique, favorisant à la fois la compréhension des textes et le développement des compétences langagières et culturelles.</w:t>
      </w:r>
    </w:p>
    <w:p w:rsidR="001D01E4" w:rsidRPr="009B7F53" w:rsidRDefault="001D01E4" w:rsidP="001D01E4">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9B7F53">
        <w:rPr>
          <w:rFonts w:ascii="Times New Roman" w:eastAsia="Times New Roman" w:hAnsi="Times New Roman" w:cs="Times New Roman"/>
          <w:b/>
          <w:bCs/>
          <w:sz w:val="24"/>
          <w:szCs w:val="24"/>
          <w:lang w:eastAsia="fr-FR"/>
        </w:rPr>
        <w:lastRenderedPageBreak/>
        <w:t>Références bibliographiques</w:t>
      </w:r>
    </w:p>
    <w:p w:rsidR="001D01E4" w:rsidRPr="009B7F53" w:rsidRDefault="001D01E4" w:rsidP="001D01E4">
      <w:pPr>
        <w:pStyle w:val="NormalWeb"/>
        <w:numPr>
          <w:ilvl w:val="0"/>
          <w:numId w:val="2"/>
        </w:numPr>
        <w:spacing w:line="360" w:lineRule="auto"/>
        <w:jc w:val="both"/>
      </w:pPr>
      <w:r w:rsidRPr="009B7F53">
        <w:t xml:space="preserve">Bakhtine, M. (1984). </w:t>
      </w:r>
      <w:r w:rsidRPr="009B7F53">
        <w:rPr>
          <w:rStyle w:val="Accentuation"/>
        </w:rPr>
        <w:t>Esthétique de la création verbale</w:t>
      </w:r>
      <w:r w:rsidRPr="009B7F53">
        <w:t xml:space="preserve"> (trad. </w:t>
      </w:r>
      <w:proofErr w:type="spellStart"/>
      <w:r w:rsidRPr="009B7F53">
        <w:t>fr</w:t>
      </w:r>
      <w:proofErr w:type="spellEnd"/>
      <w:r w:rsidRPr="009B7F53">
        <w:t>.). Paris : Gallimard.</w:t>
      </w:r>
      <w:r w:rsidRPr="009B7F53">
        <w:br/>
      </w:r>
      <w:r w:rsidRPr="009B7F53">
        <w:rPr>
          <w:rStyle w:val="Accentuation"/>
        </w:rPr>
        <w:t>(Ouvrage de référence sur les genres du discours et leur stabilité relative.)</w:t>
      </w:r>
    </w:p>
    <w:p w:rsidR="001D01E4" w:rsidRPr="009B7F53" w:rsidRDefault="001D01E4" w:rsidP="001D01E4">
      <w:pPr>
        <w:pStyle w:val="NormalWeb"/>
        <w:numPr>
          <w:ilvl w:val="0"/>
          <w:numId w:val="2"/>
        </w:numPr>
        <w:spacing w:line="360" w:lineRule="auto"/>
        <w:jc w:val="both"/>
      </w:pPr>
      <w:proofErr w:type="spellStart"/>
      <w:r w:rsidRPr="009B7F53">
        <w:t>Schneuwly</w:t>
      </w:r>
      <w:proofErr w:type="spellEnd"/>
      <w:r w:rsidRPr="009B7F53">
        <w:t xml:space="preserve">, B., &amp; </w:t>
      </w:r>
      <w:proofErr w:type="spellStart"/>
      <w:r w:rsidRPr="009B7F53">
        <w:t>Dolz</w:t>
      </w:r>
      <w:proofErr w:type="spellEnd"/>
      <w:r w:rsidRPr="009B7F53">
        <w:t xml:space="preserve">, J. (2009). </w:t>
      </w:r>
      <w:r w:rsidRPr="009B7F53">
        <w:rPr>
          <w:rStyle w:val="Accentuation"/>
        </w:rPr>
        <w:t>Des objets enseignés en classe de français</w:t>
      </w:r>
      <w:r w:rsidRPr="009B7F53">
        <w:t>. Rennes : Presses universitaires de Rennes.</w:t>
      </w:r>
      <w:r w:rsidRPr="009B7F53">
        <w:br/>
      </w:r>
      <w:r w:rsidRPr="009B7F53">
        <w:rPr>
          <w:rStyle w:val="Accentuation"/>
        </w:rPr>
        <w:t>(Référence centrale en didactique des genres et en approche par compétences.)</w:t>
      </w:r>
    </w:p>
    <w:p w:rsidR="001D01E4" w:rsidRPr="009B7F53" w:rsidRDefault="001D01E4" w:rsidP="001D01E4">
      <w:pPr>
        <w:pStyle w:val="NormalWeb"/>
        <w:numPr>
          <w:ilvl w:val="0"/>
          <w:numId w:val="2"/>
        </w:numPr>
        <w:spacing w:line="360" w:lineRule="auto"/>
        <w:jc w:val="both"/>
      </w:pPr>
      <w:r w:rsidRPr="009B7F53">
        <w:t xml:space="preserve">Todorov, T. (1978). </w:t>
      </w:r>
      <w:r w:rsidRPr="009B7F53">
        <w:rPr>
          <w:rStyle w:val="Accentuation"/>
        </w:rPr>
        <w:t>Les genres du discours</w:t>
      </w:r>
      <w:r w:rsidRPr="009B7F53">
        <w:t>. Paris : Seuil.</w:t>
      </w:r>
      <w:r w:rsidRPr="009B7F53">
        <w:br/>
      </w:r>
      <w:r w:rsidRPr="009B7F53">
        <w:rPr>
          <w:rStyle w:val="Accentuation"/>
        </w:rPr>
        <w:t>(Texte fondateur sur la conception des genres comme institutions sociales.)</w:t>
      </w:r>
    </w:p>
    <w:p w:rsidR="001D01E4" w:rsidRPr="009B7F53" w:rsidRDefault="001D01E4" w:rsidP="001D01E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Adam, J.-M. (2011). </w:t>
      </w:r>
      <w:r w:rsidRPr="009B7F53">
        <w:rPr>
          <w:rFonts w:ascii="Times New Roman" w:eastAsia="Times New Roman" w:hAnsi="Times New Roman" w:cs="Times New Roman"/>
          <w:i/>
          <w:iCs/>
          <w:sz w:val="24"/>
          <w:szCs w:val="24"/>
          <w:lang w:eastAsia="fr-FR"/>
        </w:rPr>
        <w:t>Les textes : types et prototypes</w:t>
      </w:r>
      <w:r w:rsidRPr="009B7F53">
        <w:rPr>
          <w:rFonts w:ascii="Times New Roman" w:eastAsia="Times New Roman" w:hAnsi="Times New Roman" w:cs="Times New Roman"/>
          <w:sz w:val="24"/>
          <w:szCs w:val="24"/>
          <w:lang w:eastAsia="fr-FR"/>
        </w:rPr>
        <w:t>. Paris : Armand Colin.</w:t>
      </w:r>
    </w:p>
    <w:p w:rsidR="001D01E4" w:rsidRPr="009B7F53" w:rsidRDefault="001D01E4" w:rsidP="001D01E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Bruner, J. (1996). </w:t>
      </w:r>
      <w:r w:rsidRPr="009B7F53">
        <w:rPr>
          <w:rFonts w:ascii="Times New Roman" w:eastAsia="Times New Roman" w:hAnsi="Times New Roman" w:cs="Times New Roman"/>
          <w:i/>
          <w:iCs/>
          <w:sz w:val="24"/>
          <w:szCs w:val="24"/>
          <w:lang w:eastAsia="fr-FR"/>
        </w:rPr>
        <w:t>L’éducation, entrée dans la culture</w:t>
      </w:r>
      <w:r w:rsidRPr="009B7F53">
        <w:rPr>
          <w:rFonts w:ascii="Times New Roman" w:eastAsia="Times New Roman" w:hAnsi="Times New Roman" w:cs="Times New Roman"/>
          <w:sz w:val="24"/>
          <w:szCs w:val="24"/>
          <w:lang w:eastAsia="fr-FR"/>
        </w:rPr>
        <w:t>. Paris : Retz.</w:t>
      </w:r>
    </w:p>
    <w:p w:rsidR="001D01E4" w:rsidRPr="009B7F53" w:rsidRDefault="001D01E4" w:rsidP="001D01E4">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Genette, G. (1986). </w:t>
      </w:r>
      <w:r w:rsidRPr="009B7F53">
        <w:rPr>
          <w:rFonts w:ascii="Times New Roman" w:eastAsia="Times New Roman" w:hAnsi="Times New Roman" w:cs="Times New Roman"/>
          <w:i/>
          <w:iCs/>
          <w:sz w:val="24"/>
          <w:szCs w:val="24"/>
          <w:lang w:eastAsia="fr-FR"/>
        </w:rPr>
        <w:t>Seuils</w:t>
      </w:r>
      <w:r w:rsidRPr="009B7F53">
        <w:rPr>
          <w:rFonts w:ascii="Times New Roman" w:eastAsia="Times New Roman" w:hAnsi="Times New Roman" w:cs="Times New Roman"/>
          <w:sz w:val="24"/>
          <w:szCs w:val="24"/>
          <w:lang w:eastAsia="fr-FR"/>
        </w:rPr>
        <w:t>. Paris : Seuil.</w:t>
      </w:r>
    </w:p>
    <w:p w:rsidR="001D01E4" w:rsidRPr="009B7F53" w:rsidRDefault="001D01E4" w:rsidP="001D01E4">
      <w:pPr>
        <w:pStyle w:val="NormalWeb"/>
        <w:spacing w:line="360" w:lineRule="auto"/>
        <w:jc w:val="both"/>
        <w:rPr>
          <w:rFonts w:asciiTheme="majorBidi" w:hAnsiTheme="majorBidi" w:cstheme="majorBidi"/>
        </w:rPr>
      </w:pPr>
    </w:p>
    <w:p w:rsidR="001D01E4" w:rsidRPr="009B7F53" w:rsidRDefault="001D01E4" w:rsidP="001D01E4">
      <w:pPr>
        <w:spacing w:line="360" w:lineRule="auto"/>
        <w:jc w:val="both"/>
        <w:rPr>
          <w:sz w:val="24"/>
          <w:szCs w:val="24"/>
        </w:rPr>
      </w:pPr>
    </w:p>
    <w:p w:rsidR="002054F5" w:rsidRDefault="001D01E4"/>
    <w:sectPr w:rsidR="002054F5" w:rsidSect="00B204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C734B"/>
    <w:multiLevelType w:val="multilevel"/>
    <w:tmpl w:val="8EA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56C4E"/>
    <w:multiLevelType w:val="multilevel"/>
    <w:tmpl w:val="8EA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D01E4"/>
    <w:rsid w:val="001D01E4"/>
    <w:rsid w:val="00251989"/>
    <w:rsid w:val="00B20442"/>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01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D01E4"/>
    <w:rPr>
      <w:b/>
      <w:bCs/>
    </w:rPr>
  </w:style>
  <w:style w:type="character" w:styleId="Accentuation">
    <w:name w:val="Emphasis"/>
    <w:basedOn w:val="Policepardfaut"/>
    <w:uiPriority w:val="20"/>
    <w:qFormat/>
    <w:rsid w:val="001D01E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2756</Characters>
  <Application>Microsoft Office Word</Application>
  <DocSecurity>0</DocSecurity>
  <Lines>22</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2026-04-18T10:41:00Z</dcterms:created>
  <dcterms:modified xsi:type="dcterms:W3CDTF">2026-04-18T10:41:00Z</dcterms:modified>
</cp:coreProperties>
</file>